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06BA093" w:rsidR="00E90E49" w:rsidRPr="00CE0424" w:rsidRDefault="00E90E49" w:rsidP="00E35559">
      <w:pPr>
        <w:pStyle w:val="3GPPHeader"/>
        <w:spacing w:after="60"/>
        <w:rPr>
          <w:sz w:val="32"/>
          <w:szCs w:val="32"/>
          <w:highlight w:val="yellow"/>
        </w:rPr>
      </w:pPr>
      <w:r w:rsidRPr="00CE0424">
        <w:t>3GPP TSG-RAN WG</w:t>
      </w:r>
      <w:r w:rsidR="00B277C7">
        <w:t>4</w:t>
      </w:r>
      <w:r w:rsidRPr="00CE0424">
        <w:t xml:space="preserve"> </w:t>
      </w:r>
      <w:r w:rsidR="008F1C4E">
        <w:t xml:space="preserve">Meeting </w:t>
      </w:r>
      <w:r w:rsidRPr="00CE0424">
        <w:t>#</w:t>
      </w:r>
      <w:r w:rsidR="007E2EF4">
        <w:t>105</w:t>
      </w:r>
      <w:r w:rsidRPr="00CE0424">
        <w:tab/>
      </w:r>
      <w:r w:rsidR="00091557" w:rsidRPr="00CE0424">
        <w:rPr>
          <w:sz w:val="32"/>
          <w:szCs w:val="32"/>
        </w:rPr>
        <w:t>R</w:t>
      </w:r>
      <w:r w:rsidR="00B277C7">
        <w:rPr>
          <w:sz w:val="32"/>
          <w:szCs w:val="32"/>
        </w:rPr>
        <w:t>4</w:t>
      </w:r>
      <w:r w:rsidR="00091557" w:rsidRPr="00CE0424">
        <w:rPr>
          <w:sz w:val="32"/>
          <w:szCs w:val="32"/>
        </w:rPr>
        <w:t>-</w:t>
      </w:r>
      <w:r w:rsidR="00B277C7">
        <w:rPr>
          <w:sz w:val="32"/>
          <w:szCs w:val="32"/>
        </w:rPr>
        <w:t>22</w:t>
      </w:r>
      <w:r w:rsidR="00603050">
        <w:rPr>
          <w:sz w:val="32"/>
          <w:szCs w:val="32"/>
        </w:rPr>
        <w:t>19636</w:t>
      </w:r>
    </w:p>
    <w:p w14:paraId="0CE7B7E6" w14:textId="6C5FC35B" w:rsidR="00E90E49" w:rsidRPr="00CE0424" w:rsidRDefault="007E2EF4" w:rsidP="00311702">
      <w:pPr>
        <w:pStyle w:val="3GPPHeader"/>
      </w:pPr>
      <w:r w:rsidRPr="00B277C7">
        <w:t>Toulouse</w:t>
      </w:r>
      <w:r w:rsidR="0027144F" w:rsidRPr="00B277C7">
        <w:t xml:space="preserve">, </w:t>
      </w:r>
      <w:r w:rsidRPr="00B277C7">
        <w:t>France</w:t>
      </w:r>
      <w:r w:rsidR="0027144F" w:rsidRPr="00B277C7">
        <w:t xml:space="preserve">, </w:t>
      </w:r>
      <w:r w:rsidRPr="00B277C7">
        <w:t>14</w:t>
      </w:r>
      <w:r w:rsidR="001D53E7" w:rsidRPr="00B277C7">
        <w:t xml:space="preserve">th – </w:t>
      </w:r>
      <w:r w:rsidRPr="00B277C7">
        <w:t>18</w:t>
      </w:r>
      <w:r w:rsidR="001D53E7" w:rsidRPr="00B277C7">
        <w:t>th</w:t>
      </w:r>
      <w:r w:rsidR="00C37CB2" w:rsidRPr="00B277C7">
        <w:t xml:space="preserve"> </w:t>
      </w:r>
      <w:r w:rsidR="00B277C7" w:rsidRPr="00B277C7">
        <w:t>November 2022</w:t>
      </w:r>
    </w:p>
    <w:p w14:paraId="3086AC07" w14:textId="77777777" w:rsidR="00E90E49" w:rsidRPr="00CE0424" w:rsidRDefault="00E90E49" w:rsidP="00357380">
      <w:pPr>
        <w:pStyle w:val="3GPPHeader"/>
      </w:pPr>
    </w:p>
    <w:p w14:paraId="3982483C" w14:textId="736CC2C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C4C90">
        <w:rPr>
          <w:sz w:val="22"/>
          <w:lang w:val="sv-FI"/>
        </w:rPr>
        <w:t>8.13.1.3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A79D321" w:rsidR="00E90E49" w:rsidRPr="00CE0424" w:rsidRDefault="003D3C45" w:rsidP="00311702">
      <w:pPr>
        <w:pStyle w:val="3GPPHeader"/>
        <w:rPr>
          <w:sz w:val="22"/>
        </w:rPr>
      </w:pPr>
      <w:r>
        <w:rPr>
          <w:sz w:val="22"/>
        </w:rPr>
        <w:t>Title:</w:t>
      </w:r>
      <w:r w:rsidR="00E90E49" w:rsidRPr="00CE0424">
        <w:rPr>
          <w:sz w:val="22"/>
        </w:rPr>
        <w:tab/>
      </w:r>
      <w:r w:rsidR="009C4C90">
        <w:rPr>
          <w:sz w:val="22"/>
        </w:rPr>
        <w:t>Co-existence simulation parameters</w:t>
      </w:r>
    </w:p>
    <w:p w14:paraId="025260C1" w14:textId="4F6DE5A0" w:rsidR="00E90E49" w:rsidRPr="00CE0424" w:rsidRDefault="00E90E49" w:rsidP="00D546FF">
      <w:pPr>
        <w:pStyle w:val="3GPPHeader"/>
        <w:rPr>
          <w:sz w:val="22"/>
        </w:rPr>
      </w:pPr>
      <w:r w:rsidRPr="00CE0424">
        <w:rPr>
          <w:sz w:val="22"/>
        </w:rPr>
        <w:t>Document for:</w:t>
      </w:r>
      <w:r w:rsidRPr="00CE0424">
        <w:rPr>
          <w:sz w:val="22"/>
        </w:rPr>
        <w:tab/>
      </w:r>
      <w:proofErr w:type="spellStart"/>
      <w:r w:rsidR="009C4C90">
        <w:rPr>
          <w:sz w:val="22"/>
        </w:rPr>
        <w:t>Discusison</w:t>
      </w:r>
      <w:proofErr w:type="spellEnd"/>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561DBE2" w:rsidR="00477768" w:rsidRPr="00CE0424" w:rsidRDefault="00E737A1" w:rsidP="00CE0424">
      <w:pPr>
        <w:pStyle w:val="BodyText"/>
      </w:pPr>
      <w:r>
        <w:t xml:space="preserve">During RAN4#104bis-e, a WF on </w:t>
      </w:r>
      <w:r w:rsidR="005D106E">
        <w:t>co-existence evaluation was agreed. Some parameters remained open in the WF, and this contribution provides some analysis and views for those parameters.</w:t>
      </w:r>
    </w:p>
    <w:p w14:paraId="60123794" w14:textId="363D2CCB" w:rsidR="004000E8" w:rsidRDefault="00230D18" w:rsidP="00CE0424">
      <w:pPr>
        <w:pStyle w:val="Heading1"/>
      </w:pPr>
      <w:bookmarkStart w:id="0" w:name="_Ref178064866"/>
      <w:r>
        <w:t>2</w:t>
      </w:r>
      <w:r>
        <w:tab/>
      </w:r>
      <w:r w:rsidR="004000E8" w:rsidRPr="00CE0424">
        <w:t>Discussion</w:t>
      </w:r>
      <w:bookmarkEnd w:id="0"/>
    </w:p>
    <w:p w14:paraId="63EC2A5B" w14:textId="4171FA99" w:rsidR="005D106E" w:rsidRDefault="007D085C" w:rsidP="005D106E">
      <w:pPr>
        <w:rPr>
          <w:u w:val="single"/>
          <w:lang w:val="en-GB" w:eastAsia="ja-JP"/>
        </w:rPr>
      </w:pPr>
      <w:r>
        <w:rPr>
          <w:u w:val="single"/>
          <w:lang w:val="en-GB" w:eastAsia="ja-JP"/>
        </w:rPr>
        <w:t>ISD assumed for simulations</w:t>
      </w:r>
    </w:p>
    <w:p w14:paraId="4CA7942D" w14:textId="0274390F" w:rsidR="007D085C" w:rsidRDefault="007D085C" w:rsidP="00B9219D">
      <w:pPr>
        <w:pStyle w:val="Doc-text2"/>
      </w:pPr>
      <w:r w:rsidRPr="00B9219D">
        <w:t>It was agreed to assume an ISD in the range [14] – 200km</w:t>
      </w:r>
      <w:r w:rsidR="00E9032B" w:rsidRPr="00B9219D">
        <w:t>, and also that only one ATG BS will be included in the co-existence simulation.</w:t>
      </w:r>
      <w:r w:rsidR="001F10C6" w:rsidRPr="00B9219D">
        <w:t xml:space="preserve"> With only a single ATG BS, the ISD is not critical, however it does impact the radius within which aircraft are assumed to operate.</w:t>
      </w:r>
    </w:p>
    <w:p w14:paraId="668AD805" w14:textId="4B0EC295" w:rsidR="00420CF7" w:rsidRDefault="00420CF7" w:rsidP="00B9219D">
      <w:pPr>
        <w:pStyle w:val="Doc-text2"/>
      </w:pPr>
      <w:r>
        <w:t>For ATG (</w:t>
      </w:r>
      <w:proofErr w:type="spellStart"/>
      <w:r>
        <w:t>Agressor</w:t>
      </w:r>
      <w:proofErr w:type="spellEnd"/>
      <w:r>
        <w:t>) DL to TN (Victim) DL, the ATG cell size is unlikely to have a</w:t>
      </w:r>
      <w:r w:rsidR="00BD4069">
        <w:t xml:space="preserve"> strong</w:t>
      </w:r>
      <w:r>
        <w:t xml:space="preserve"> influence on the result, since it depends </w:t>
      </w:r>
      <w:r w:rsidR="00AE4874">
        <w:t xml:space="preserve">mainly </w:t>
      </w:r>
      <w:r>
        <w:t>on ATG TX power and the distance of TN UEs from the ATG BS.  For TN (</w:t>
      </w:r>
      <w:proofErr w:type="spellStart"/>
      <w:r>
        <w:t>Agressor</w:t>
      </w:r>
      <w:proofErr w:type="spellEnd"/>
      <w:r>
        <w:t>) to ATG (Victim) UL, again ATG cell size does not matter</w:t>
      </w:r>
      <w:r w:rsidR="00050EA2">
        <w:t xml:space="preserve"> because the dependency is on the distance of TN UEs from the ATG BS.</w:t>
      </w:r>
    </w:p>
    <w:p w14:paraId="465F7503" w14:textId="4B1913F0" w:rsidR="00050EA2" w:rsidRDefault="00050EA2" w:rsidP="00B9219D">
      <w:pPr>
        <w:pStyle w:val="Doc-text2"/>
      </w:pPr>
      <w:r>
        <w:t>For ATG (</w:t>
      </w:r>
      <w:proofErr w:type="spellStart"/>
      <w:r>
        <w:t>Agressor</w:t>
      </w:r>
      <w:proofErr w:type="spellEnd"/>
      <w:r>
        <w:t xml:space="preserve">) to TN (Victim) UL, the </w:t>
      </w:r>
      <w:proofErr w:type="gramStart"/>
      <w:r>
        <w:t>worst case</w:t>
      </w:r>
      <w:proofErr w:type="gramEnd"/>
      <w:r>
        <w:t xml:space="preserve"> scenario </w:t>
      </w:r>
      <w:r w:rsidR="00E041A5">
        <w:t>may be</w:t>
      </w:r>
      <w:r>
        <w:t xml:space="preserve"> actually when an aircraft is directly over a TG, regardless of the ATG cell size</w:t>
      </w:r>
      <w:r w:rsidR="00E041A5">
        <w:t>, depending on the UE antenna assumption</w:t>
      </w:r>
      <w:r>
        <w:t>.</w:t>
      </w:r>
      <w:r w:rsidR="00E853BE">
        <w:t xml:space="preserve"> If the UE antenna is omnidirectional then the RX power at a TN network directly under the aircraft is largest.</w:t>
      </w:r>
      <w:r>
        <w:t xml:space="preserve"> This is discussed more in our companion paper on </w:t>
      </w:r>
      <w:r w:rsidR="00A22714">
        <w:t>preliminary results.</w:t>
      </w:r>
    </w:p>
    <w:p w14:paraId="3CCDBDEC" w14:textId="642C3813" w:rsidR="00A22714" w:rsidRPr="00B9219D" w:rsidRDefault="00A22714" w:rsidP="00B9219D">
      <w:pPr>
        <w:pStyle w:val="Doc-text2"/>
      </w:pPr>
      <w:r>
        <w:t>For TN (</w:t>
      </w:r>
      <w:proofErr w:type="spellStart"/>
      <w:r>
        <w:t>Agressor</w:t>
      </w:r>
      <w:proofErr w:type="spellEnd"/>
      <w:r>
        <w:t>) to</w:t>
      </w:r>
      <w:r w:rsidR="00DA21CC">
        <w:t xml:space="preserve"> ATG (Victim) DL, again the </w:t>
      </w:r>
      <w:proofErr w:type="gramStart"/>
      <w:r w:rsidR="00DA21CC">
        <w:t>worst case</w:t>
      </w:r>
      <w:proofErr w:type="gramEnd"/>
      <w:r w:rsidR="00DA21CC">
        <w:t xml:space="preserve"> scenario </w:t>
      </w:r>
      <w:r w:rsidR="00E041A5">
        <w:t>may be</w:t>
      </w:r>
      <w:r w:rsidR="00DA21CC">
        <w:t xml:space="preserve"> actually when an aircraft is directly over a TG, regardless of the ATG cell size</w:t>
      </w:r>
      <w:r w:rsidR="00E853BE">
        <w:t>, depending on the UE antenna assumption</w:t>
      </w:r>
      <w:r w:rsidR="00DA21CC">
        <w:t>.</w:t>
      </w:r>
      <w:r w:rsidR="00E853BE">
        <w:t xml:space="preserve"> If the UE antenna is omnidirectional, the TN directly under the aircraft will provide the largest interference.</w:t>
      </w:r>
      <w:r w:rsidR="00DA21CC">
        <w:t xml:space="preserve"> This is discussed more in our companion paper on preliminary results.</w:t>
      </w:r>
    </w:p>
    <w:p w14:paraId="14A47956" w14:textId="1B3A47AF" w:rsidR="00BD4069" w:rsidRDefault="006E57D4" w:rsidP="006E57D4">
      <w:pPr>
        <w:pStyle w:val="Doc-text2"/>
        <w:jc w:val="center"/>
      </w:pPr>
      <w:r>
        <w:rPr>
          <w:noProof/>
        </w:rPr>
        <w:drawing>
          <wp:inline distT="0" distB="0" distL="0" distR="0" wp14:anchorId="1300BB00" wp14:editId="62D6E6E2">
            <wp:extent cx="3115561" cy="159096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1856" cy="1594176"/>
                    </a:xfrm>
                    <a:prstGeom prst="rect">
                      <a:avLst/>
                    </a:prstGeom>
                    <a:noFill/>
                  </pic:spPr>
                </pic:pic>
              </a:graphicData>
            </a:graphic>
          </wp:inline>
        </w:drawing>
      </w:r>
    </w:p>
    <w:p w14:paraId="4BC147D6" w14:textId="44CC53D0" w:rsidR="006E57D4" w:rsidRPr="006E57D4" w:rsidRDefault="006E57D4" w:rsidP="006E57D4">
      <w:pPr>
        <w:pStyle w:val="Doc-text2"/>
        <w:jc w:val="center"/>
        <w:rPr>
          <w:b/>
          <w:bCs/>
        </w:rPr>
      </w:pPr>
      <w:r>
        <w:rPr>
          <w:b/>
          <w:bCs/>
        </w:rPr>
        <w:lastRenderedPageBreak/>
        <w:t>Figure 1: Worst simulation case for ATG (</w:t>
      </w:r>
      <w:proofErr w:type="spellStart"/>
      <w:r>
        <w:rPr>
          <w:b/>
          <w:bCs/>
        </w:rPr>
        <w:t>Agressor</w:t>
      </w:r>
      <w:proofErr w:type="spellEnd"/>
      <w:r>
        <w:rPr>
          <w:b/>
          <w:bCs/>
        </w:rPr>
        <w:t>)-TN (Victim) UL and TN (</w:t>
      </w:r>
      <w:proofErr w:type="spellStart"/>
      <w:r>
        <w:rPr>
          <w:b/>
          <w:bCs/>
        </w:rPr>
        <w:t>Agressor</w:t>
      </w:r>
      <w:proofErr w:type="spellEnd"/>
      <w:r>
        <w:rPr>
          <w:b/>
          <w:bCs/>
        </w:rPr>
        <w:t>)-ATG(victim) DL</w:t>
      </w:r>
    </w:p>
    <w:p w14:paraId="4C64416A" w14:textId="77777777" w:rsidR="006E57D4" w:rsidRDefault="006E57D4" w:rsidP="00B9219D">
      <w:pPr>
        <w:pStyle w:val="Doc-text2"/>
      </w:pPr>
    </w:p>
    <w:p w14:paraId="351E08E7" w14:textId="310F992E" w:rsidR="006E57D4" w:rsidRDefault="006E57D4" w:rsidP="006E57D4">
      <w:pPr>
        <w:pStyle w:val="Observation"/>
      </w:pPr>
      <w:bookmarkStart w:id="1" w:name="_Toc118730942"/>
      <w:r>
        <w:t>The ATG cell size does not have a large impact on the simulation results for any of the cases</w:t>
      </w:r>
      <w:bookmarkEnd w:id="1"/>
    </w:p>
    <w:p w14:paraId="0C18838A" w14:textId="70DE4A4F" w:rsidR="006E57D4" w:rsidRDefault="006E57D4" w:rsidP="006E57D4">
      <w:pPr>
        <w:pStyle w:val="Observation"/>
      </w:pPr>
      <w:bookmarkStart w:id="2" w:name="_Toc118730943"/>
      <w:r>
        <w:t>The worst case for</w:t>
      </w:r>
      <w:r w:rsidRPr="006E57D4">
        <w:t xml:space="preserve"> ATG (</w:t>
      </w:r>
      <w:proofErr w:type="spellStart"/>
      <w:r w:rsidRPr="006E57D4">
        <w:t>Agressor</w:t>
      </w:r>
      <w:proofErr w:type="spellEnd"/>
      <w:r w:rsidRPr="006E57D4">
        <w:t>)-TN (Victim) UL and TN (</w:t>
      </w:r>
      <w:proofErr w:type="spellStart"/>
      <w:r w:rsidRPr="006E57D4">
        <w:t>Agressor</w:t>
      </w:r>
      <w:proofErr w:type="spellEnd"/>
      <w:r w:rsidRPr="006E57D4">
        <w:t>)-</w:t>
      </w:r>
      <w:proofErr w:type="gramStart"/>
      <w:r w:rsidRPr="006E57D4">
        <w:t>ATG(</w:t>
      </w:r>
      <w:proofErr w:type="gramEnd"/>
      <w:r w:rsidRPr="006E57D4">
        <w:t>victim) DL</w:t>
      </w:r>
      <w:r>
        <w:t xml:space="preserve"> </w:t>
      </w:r>
      <w:r w:rsidR="007742B1">
        <w:t>might be</w:t>
      </w:r>
      <w:r>
        <w:t xml:space="preserve"> with the TN directly below the aircraft</w:t>
      </w:r>
      <w:bookmarkEnd w:id="2"/>
    </w:p>
    <w:p w14:paraId="55CBD425" w14:textId="77777777" w:rsidR="006E57D4" w:rsidRDefault="006E57D4" w:rsidP="006E57D4">
      <w:pPr>
        <w:pStyle w:val="Observation"/>
        <w:numPr>
          <w:ilvl w:val="0"/>
          <w:numId w:val="0"/>
        </w:numPr>
        <w:ind w:left="1701" w:hanging="1701"/>
      </w:pPr>
    </w:p>
    <w:p w14:paraId="306E7F89" w14:textId="6562F6E8" w:rsidR="006E57D4" w:rsidRDefault="006E57D4" w:rsidP="006E57D4">
      <w:pPr>
        <w:pStyle w:val="Proposal"/>
      </w:pPr>
      <w:bookmarkStart w:id="3" w:name="_Toc118730946"/>
      <w:r>
        <w:t xml:space="preserve">Update the assumption for </w:t>
      </w:r>
      <w:r w:rsidRPr="006E57D4">
        <w:t>ATG (</w:t>
      </w:r>
      <w:proofErr w:type="spellStart"/>
      <w:r w:rsidRPr="006E57D4">
        <w:t>Agressor</w:t>
      </w:r>
      <w:proofErr w:type="spellEnd"/>
      <w:r w:rsidRPr="006E57D4">
        <w:t>)-TN (Victim) UL and TN (</w:t>
      </w:r>
      <w:proofErr w:type="spellStart"/>
      <w:r w:rsidRPr="006E57D4">
        <w:t>Agressor</w:t>
      </w:r>
      <w:proofErr w:type="spellEnd"/>
      <w:r w:rsidRPr="006E57D4">
        <w:t>)-</w:t>
      </w:r>
      <w:proofErr w:type="gramStart"/>
      <w:r w:rsidRPr="006E57D4">
        <w:t>ATG(</w:t>
      </w:r>
      <w:proofErr w:type="gramEnd"/>
      <w:r w:rsidRPr="006E57D4">
        <w:t>victim) DL</w:t>
      </w:r>
      <w:r>
        <w:t xml:space="preserve"> TN position to </w:t>
      </w:r>
      <w:r w:rsidR="007742B1">
        <w:t>consider TN placed at the ATG site and also TN</w:t>
      </w:r>
      <w:r>
        <w:t xml:space="preserve"> </w:t>
      </w:r>
      <w:r w:rsidR="008554DE">
        <w:t>directly below the aircraft</w:t>
      </w:r>
      <w:r w:rsidR="007742B1">
        <w:t xml:space="preserve"> (whichever is the worst case, depending on the UE antenna assumption)</w:t>
      </w:r>
      <w:r w:rsidR="008554DE">
        <w:t>.</w:t>
      </w:r>
      <w:bookmarkEnd w:id="3"/>
    </w:p>
    <w:p w14:paraId="65530D81" w14:textId="77777777" w:rsidR="008554DE" w:rsidRDefault="008554DE" w:rsidP="00B9219D">
      <w:pPr>
        <w:pStyle w:val="Doc-text2"/>
      </w:pPr>
    </w:p>
    <w:p w14:paraId="00EEA240" w14:textId="03CCDD51" w:rsidR="007E362A" w:rsidRDefault="00485B87" w:rsidP="00B9219D">
      <w:pPr>
        <w:pStyle w:val="Doc-text2"/>
      </w:pPr>
      <w:r>
        <w:t>It is important to note that ISD is not the same as cell range</w:t>
      </w:r>
      <w:r w:rsidR="0017139F">
        <w:t xml:space="preserve">. It has been agreed that the </w:t>
      </w:r>
      <w:r w:rsidR="00D80789">
        <w:t xml:space="preserve">ATG </w:t>
      </w:r>
      <w:r w:rsidR="0017139F">
        <w:t>BS antennas will be pointed towards the horizon with some uptilt. This means that BS will serve UEs that are at some distance from the BS, but not ones that are immediately underneath of the BS.</w:t>
      </w:r>
    </w:p>
    <w:p w14:paraId="793C3467" w14:textId="15B35D7A" w:rsidR="0017139F" w:rsidRDefault="0017139F" w:rsidP="00B9219D">
      <w:pPr>
        <w:pStyle w:val="Doc-text2"/>
      </w:pPr>
    </w:p>
    <w:p w14:paraId="1D15CB8B" w14:textId="101D5854" w:rsidR="0017139F" w:rsidRDefault="0017139F" w:rsidP="00B9219D">
      <w:pPr>
        <w:pStyle w:val="Doc-text2"/>
      </w:pPr>
      <w:r>
        <w:rPr>
          <w:noProof/>
        </w:rPr>
        <w:drawing>
          <wp:inline distT="0" distB="0" distL="0" distR="0" wp14:anchorId="532BE734" wp14:editId="5651A5D5">
            <wp:extent cx="5620371" cy="135742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4358" cy="1365630"/>
                    </a:xfrm>
                    <a:prstGeom prst="rect">
                      <a:avLst/>
                    </a:prstGeom>
                    <a:noFill/>
                  </pic:spPr>
                </pic:pic>
              </a:graphicData>
            </a:graphic>
          </wp:inline>
        </w:drawing>
      </w:r>
    </w:p>
    <w:p w14:paraId="50D237A7" w14:textId="330DB995" w:rsidR="003F2935" w:rsidRDefault="003F2935" w:rsidP="00B9219D">
      <w:pPr>
        <w:pStyle w:val="Doc-text2"/>
      </w:pPr>
    </w:p>
    <w:p w14:paraId="30954825" w14:textId="59B0B67A" w:rsidR="003F2935" w:rsidRDefault="003F2935" w:rsidP="00B9219D">
      <w:pPr>
        <w:pStyle w:val="Doc-text2"/>
      </w:pPr>
      <w:r>
        <w:t>The ISD should be dimensioned to provide sufficient capacity, so that there is enough data provided to all of the aircraft. Thus, in a route that is busy with aircraft, the BS may be positioned regularly to provide capacity, but each BS will serve aircraft that are at some significant distance.</w:t>
      </w:r>
    </w:p>
    <w:p w14:paraId="6B555523" w14:textId="56319B7C" w:rsidR="00D3781E" w:rsidRDefault="00D3781E" w:rsidP="00B9219D">
      <w:pPr>
        <w:pStyle w:val="Doc-text2"/>
      </w:pPr>
      <w:r>
        <w:t>As discussed in [</w:t>
      </w:r>
      <w:r w:rsidR="00A21220">
        <w:t>1</w:t>
      </w:r>
      <w:r>
        <w:t xml:space="preserve">], </w:t>
      </w:r>
      <w:r w:rsidR="0029595B">
        <w:t xml:space="preserve">for n1, </w:t>
      </w:r>
      <w:r>
        <w:t xml:space="preserve">with an uptilt of </w:t>
      </w:r>
      <w:r w:rsidR="005312DC">
        <w:t>5.85</w:t>
      </w:r>
      <w:r w:rsidR="000343D1">
        <w:t xml:space="preserve"> degrees will provide coverage from </w:t>
      </w:r>
      <w:r w:rsidR="001F1F6F">
        <w:t>5</w:t>
      </w:r>
      <w:r w:rsidR="001C14DC">
        <w:t xml:space="preserve">0 – </w:t>
      </w:r>
      <w:r w:rsidR="005312DC">
        <w:t>2</w:t>
      </w:r>
      <w:r w:rsidR="001C14DC">
        <w:t>00km from the BS</w:t>
      </w:r>
      <w:r w:rsidR="007C0BA8">
        <w:t xml:space="preserve"> assuming a maximum altitude of 10km</w:t>
      </w:r>
      <w:r w:rsidR="001C14DC">
        <w:t xml:space="preserve">. This seems a reasonable assumption for the </w:t>
      </w:r>
      <w:r w:rsidR="00044633">
        <w:t>co-existence evaluation.</w:t>
      </w:r>
    </w:p>
    <w:p w14:paraId="462FCE64" w14:textId="77777777" w:rsidR="003F2935" w:rsidRPr="00B9219D" w:rsidRDefault="003F2935" w:rsidP="00B9219D">
      <w:pPr>
        <w:pStyle w:val="Doc-text2"/>
      </w:pPr>
    </w:p>
    <w:p w14:paraId="0E2E8CFA" w14:textId="706B8830" w:rsidR="007E362A" w:rsidRDefault="007C0BA8" w:rsidP="007E362A">
      <w:pPr>
        <w:pStyle w:val="Proposal"/>
        <w:rPr>
          <w:lang w:val="en-GB"/>
        </w:rPr>
      </w:pPr>
      <w:bookmarkStart w:id="4" w:name="_Toc118730947"/>
      <w:r>
        <w:rPr>
          <w:lang w:val="en-GB"/>
        </w:rPr>
        <w:t>For n1</w:t>
      </w:r>
      <w:r w:rsidR="00EC5D91">
        <w:rPr>
          <w:lang w:val="en-GB"/>
        </w:rPr>
        <w:t xml:space="preserve"> (2GHz)</w:t>
      </w:r>
      <w:r>
        <w:rPr>
          <w:lang w:val="en-GB"/>
        </w:rPr>
        <w:t>, p</w:t>
      </w:r>
      <w:r w:rsidR="00044633">
        <w:rPr>
          <w:lang w:val="en-GB"/>
        </w:rPr>
        <w:t xml:space="preserve">osition ATG UEs between </w:t>
      </w:r>
      <w:r>
        <w:rPr>
          <w:lang w:val="en-GB"/>
        </w:rPr>
        <w:t>5</w:t>
      </w:r>
      <w:r w:rsidR="00044633">
        <w:rPr>
          <w:lang w:val="en-GB"/>
        </w:rPr>
        <w:t>0-</w:t>
      </w:r>
      <w:r w:rsidR="005312DC">
        <w:rPr>
          <w:lang w:val="en-GB"/>
        </w:rPr>
        <w:t>2</w:t>
      </w:r>
      <w:r w:rsidR="00044633">
        <w:rPr>
          <w:lang w:val="en-GB"/>
        </w:rPr>
        <w:t>00km from the ATG BS in the co-existence simulations</w:t>
      </w:r>
      <w:r w:rsidR="008947A4">
        <w:rPr>
          <w:lang w:val="en-GB"/>
        </w:rPr>
        <w:t xml:space="preserve"> assuming </w:t>
      </w:r>
      <w:r w:rsidR="005312DC">
        <w:rPr>
          <w:lang w:val="en-GB"/>
        </w:rPr>
        <w:t>5.85</w:t>
      </w:r>
      <w:r w:rsidR="008947A4">
        <w:rPr>
          <w:lang w:val="en-GB"/>
        </w:rPr>
        <w:t xml:space="preserve"> degrees uptilt</w:t>
      </w:r>
      <w:bookmarkEnd w:id="4"/>
    </w:p>
    <w:p w14:paraId="786E0CF4" w14:textId="6A085FBA" w:rsidR="008947A4" w:rsidRDefault="008947A4" w:rsidP="008947A4">
      <w:pPr>
        <w:pStyle w:val="Doc-text2"/>
      </w:pPr>
    </w:p>
    <w:p w14:paraId="5E4D56EF" w14:textId="0C4CAFDA" w:rsidR="008947A4" w:rsidRDefault="008947A4" w:rsidP="008947A4">
      <w:pPr>
        <w:pStyle w:val="Doc-text2"/>
      </w:pPr>
      <w:r>
        <w:t xml:space="preserve">For </w:t>
      </w:r>
      <w:r w:rsidR="00C0366C">
        <w:t>4GHz</w:t>
      </w:r>
      <w:r w:rsidR="00C61A02">
        <w:t>, we assume a</w:t>
      </w:r>
      <w:r w:rsidR="001059B0">
        <w:t xml:space="preserve"> sub-array implementation with a vertical width of around 10 degrees</w:t>
      </w:r>
      <w:r w:rsidR="00EC5D91">
        <w:t>. This suggests a similar trigonometry to 2GHz.</w:t>
      </w:r>
    </w:p>
    <w:p w14:paraId="7502FABC" w14:textId="0E59F583" w:rsidR="00EC5D91" w:rsidRDefault="00EC5D91" w:rsidP="008947A4">
      <w:pPr>
        <w:pStyle w:val="Doc-text2"/>
      </w:pPr>
    </w:p>
    <w:p w14:paraId="2C2C55C4" w14:textId="49ABF0D5" w:rsidR="00EC5D91" w:rsidRPr="00EC5D91" w:rsidRDefault="00EC5D91" w:rsidP="00EC5D91">
      <w:pPr>
        <w:pStyle w:val="Proposal"/>
        <w:rPr>
          <w:lang w:val="en-GB"/>
        </w:rPr>
      </w:pPr>
      <w:bookmarkStart w:id="5" w:name="_Toc118730948"/>
      <w:r>
        <w:rPr>
          <w:lang w:val="en-GB"/>
        </w:rPr>
        <w:t>For 4GHz, position ATG UEs between 50-</w:t>
      </w:r>
      <w:r w:rsidR="005312DC">
        <w:rPr>
          <w:lang w:val="en-GB"/>
        </w:rPr>
        <w:t>2</w:t>
      </w:r>
      <w:r>
        <w:rPr>
          <w:lang w:val="en-GB"/>
        </w:rPr>
        <w:t xml:space="preserve">00km from the ATG BS in the co-existence simulations assuming </w:t>
      </w:r>
      <w:r w:rsidR="005312DC">
        <w:rPr>
          <w:lang w:val="en-GB"/>
        </w:rPr>
        <w:t>5</w:t>
      </w:r>
      <w:r>
        <w:rPr>
          <w:lang w:val="en-GB"/>
        </w:rPr>
        <w:t>.</w:t>
      </w:r>
      <w:r w:rsidR="005312DC">
        <w:rPr>
          <w:lang w:val="en-GB"/>
        </w:rPr>
        <w:t>8</w:t>
      </w:r>
      <w:r>
        <w:rPr>
          <w:lang w:val="en-GB"/>
        </w:rPr>
        <w:t>5 degrees uptilt</w:t>
      </w:r>
      <w:bookmarkEnd w:id="5"/>
    </w:p>
    <w:p w14:paraId="0441A620" w14:textId="79877C8D" w:rsidR="007E362A" w:rsidRDefault="007E362A" w:rsidP="00B9219D">
      <w:pPr>
        <w:pStyle w:val="Doc-text2"/>
      </w:pPr>
    </w:p>
    <w:p w14:paraId="5DC221BC" w14:textId="5D01ABBB" w:rsidR="00CF2CF9" w:rsidRDefault="00CF2CF9" w:rsidP="00B9219D">
      <w:pPr>
        <w:pStyle w:val="Doc-text2"/>
      </w:pPr>
      <w:r>
        <w:t>Note that the lower end of the distance range in proposals 1 and 2 may need to be adjusted if a different maximum height is agreed.</w:t>
      </w:r>
    </w:p>
    <w:p w14:paraId="24260E36" w14:textId="77777777" w:rsidR="00CF2CF9" w:rsidRDefault="00CF2CF9" w:rsidP="00B9219D">
      <w:pPr>
        <w:pStyle w:val="Doc-text2"/>
      </w:pPr>
    </w:p>
    <w:p w14:paraId="6D53DFFE" w14:textId="462182A2" w:rsidR="00B9219D" w:rsidRDefault="00A05824" w:rsidP="00B9219D">
      <w:pPr>
        <w:pStyle w:val="Doc-text2"/>
        <w:rPr>
          <w:u w:val="single"/>
        </w:rPr>
      </w:pPr>
      <w:r>
        <w:rPr>
          <w:u w:val="single"/>
        </w:rPr>
        <w:t xml:space="preserve">BS up-tilt </w:t>
      </w:r>
    </w:p>
    <w:p w14:paraId="0E9D5F31" w14:textId="118EBC4B" w:rsidR="002D7296" w:rsidRDefault="002D7296" w:rsidP="00B9219D">
      <w:pPr>
        <w:pStyle w:val="Doc-text2"/>
      </w:pPr>
      <w:r>
        <w:t>[</w:t>
      </w:r>
      <w:r w:rsidR="00A21220">
        <w:t>1</w:t>
      </w:r>
      <w:r>
        <w:t>] presents a discussion on BS up-tilt. For co-existence simulations</w:t>
      </w:r>
      <w:r w:rsidR="00450641">
        <w:t xml:space="preserve">, an uptilt of </w:t>
      </w:r>
      <w:r w:rsidR="005312DC">
        <w:t>5.85</w:t>
      </w:r>
      <w:r w:rsidR="00450641">
        <w:t xml:space="preserve"> degrees is proposed </w:t>
      </w:r>
    </w:p>
    <w:p w14:paraId="17188450" w14:textId="4F72950B" w:rsidR="00414E92" w:rsidRDefault="00450641" w:rsidP="00D2004D">
      <w:pPr>
        <w:pStyle w:val="Proposal"/>
      </w:pPr>
      <w:bookmarkStart w:id="6" w:name="_Toc118730949"/>
      <w:r>
        <w:t xml:space="preserve">Assume </w:t>
      </w:r>
      <w:r w:rsidR="00AD194C">
        <w:t>5.85</w:t>
      </w:r>
      <w:r>
        <w:t xml:space="preserve"> degrees uptilt</w:t>
      </w:r>
      <w:bookmarkEnd w:id="6"/>
      <w:r>
        <w:t xml:space="preserve"> </w:t>
      </w:r>
    </w:p>
    <w:p w14:paraId="79CC98F7" w14:textId="77777777" w:rsidR="00AD194C" w:rsidRPr="00D2004D" w:rsidRDefault="00AD194C" w:rsidP="00AD194C">
      <w:pPr>
        <w:pStyle w:val="Proposal"/>
        <w:numPr>
          <w:ilvl w:val="0"/>
          <w:numId w:val="0"/>
        </w:numPr>
        <w:ind w:left="1701"/>
      </w:pPr>
    </w:p>
    <w:p w14:paraId="57097B7E" w14:textId="3A20CDE8" w:rsidR="00414E92" w:rsidRPr="00D2004D" w:rsidRDefault="00880DC4" w:rsidP="00D2004D">
      <w:pPr>
        <w:pStyle w:val="Doc-text2"/>
        <w:rPr>
          <w:u w:val="single"/>
        </w:rPr>
      </w:pPr>
      <w:r w:rsidRPr="00D2004D">
        <w:rPr>
          <w:u w:val="single"/>
        </w:rPr>
        <w:t>BS height</w:t>
      </w:r>
    </w:p>
    <w:p w14:paraId="17881360" w14:textId="27035E87" w:rsidR="00880DC4" w:rsidRPr="00D2004D" w:rsidRDefault="0093093C" w:rsidP="00D2004D">
      <w:pPr>
        <w:pStyle w:val="Doc-text2"/>
      </w:pPr>
      <w:r w:rsidRPr="00D2004D">
        <w:t xml:space="preserve">Proposals for the BS height range from 25 to 30m. In our view, either of these or somewhere in between can be adopted, it will not make a significant difference. We propose 27.5m as </w:t>
      </w:r>
      <w:r w:rsidR="002D2CC1" w:rsidRPr="00D2004D">
        <w:t>halfway</w:t>
      </w:r>
      <w:r w:rsidRPr="00D2004D">
        <w:t xml:space="preserve"> between the two.</w:t>
      </w:r>
    </w:p>
    <w:p w14:paraId="455C7D5F" w14:textId="474E2CF2" w:rsidR="0093093C" w:rsidRDefault="002D2CC1" w:rsidP="0093093C">
      <w:pPr>
        <w:pStyle w:val="Proposal"/>
      </w:pPr>
      <w:bookmarkStart w:id="7" w:name="_Toc118730950"/>
      <w:r>
        <w:t>BS height is 27.5m</w:t>
      </w:r>
      <w:bookmarkEnd w:id="7"/>
    </w:p>
    <w:p w14:paraId="1D1F19D5" w14:textId="40BCFD52" w:rsidR="002D2CC1" w:rsidRDefault="002D2CC1" w:rsidP="00D2004D">
      <w:pPr>
        <w:pStyle w:val="Doc-text2"/>
      </w:pPr>
    </w:p>
    <w:p w14:paraId="2120B026" w14:textId="77777777" w:rsidR="00AE2462" w:rsidRDefault="00AE2462" w:rsidP="00AE2462">
      <w:pPr>
        <w:pStyle w:val="Doc-text2"/>
        <w:rPr>
          <w:u w:val="single"/>
        </w:rPr>
      </w:pPr>
      <w:r>
        <w:rPr>
          <w:u w:val="single"/>
        </w:rPr>
        <w:t>UE array assumption</w:t>
      </w:r>
    </w:p>
    <w:p w14:paraId="7E12616A" w14:textId="77777777" w:rsidR="00AE2462" w:rsidRDefault="00AE2462" w:rsidP="00AE2462">
      <w:pPr>
        <w:pStyle w:val="Doc-text2"/>
      </w:pPr>
      <w:r>
        <w:t>Making an assumption for the UE antenna array is rather difficult, since the constraints on the UE array depend on avionics considerations. As discussed in [2], assuming an omni-directional UE can lead to a need for a large transmit power, in particular for 4GHz.</w:t>
      </w:r>
    </w:p>
    <w:p w14:paraId="223027E1" w14:textId="77777777" w:rsidR="00AE2462" w:rsidRDefault="00AE2462" w:rsidP="00AE2462">
      <w:pPr>
        <w:pStyle w:val="Doc-text2"/>
      </w:pPr>
      <w:r>
        <w:t>For a co-existence simulation, however</w:t>
      </w:r>
      <w:r>
        <w:t>,</w:t>
      </w:r>
      <w:r>
        <w:t xml:space="preserve"> what is of importance is to ensure that the worst case is covered. An omni-directional UE with a large transmit power may be difficult to build physically, but since it will have a wide beamwidth and enough power to reach the ATG BS it may be suitable for a model of a worst case.</w:t>
      </w:r>
    </w:p>
    <w:p w14:paraId="2C76ACB2" w14:textId="77777777" w:rsidR="00AE2462" w:rsidRDefault="00AE2462" w:rsidP="00AE2462">
      <w:pPr>
        <w:pStyle w:val="Observation"/>
      </w:pPr>
      <w:bookmarkStart w:id="8" w:name="_Toc118730944"/>
      <w:r>
        <w:t>It may be impractical to build a high power omni-directional UE physically, but as an assumption for a co-existence simulation it may be OK since it will have a wide beamwidth and highest expected power.</w:t>
      </w:r>
      <w:bookmarkEnd w:id="8"/>
    </w:p>
    <w:p w14:paraId="5FCBE6DA" w14:textId="77777777" w:rsidR="00AE2462" w:rsidRDefault="00AE2462" w:rsidP="00AE2462">
      <w:pPr>
        <w:pStyle w:val="Doc-text2"/>
      </w:pPr>
      <w:r>
        <w:t>Alternatively</w:t>
      </w:r>
      <w:r>
        <w:t>,</w:t>
      </w:r>
      <w:r>
        <w:t xml:space="preserve"> and to be more realistic, assuming a UE array with panels, each of 4 elements could give a 10dB gain (and corresponding TRP reduction), or a larger array could be built to achieve 20dB gain.</w:t>
      </w:r>
    </w:p>
    <w:p w14:paraId="2C643042" w14:textId="77777777" w:rsidR="00AE2462" w:rsidRDefault="00AE2462" w:rsidP="00AE2462">
      <w:pPr>
        <w:pStyle w:val="Doc-text2"/>
      </w:pPr>
      <w:r>
        <w:t>Our understanding is that a beamforming array is likely to be needed to achieve the link budget with reasonable power. Although the array size may be difficult to agree in RAN4, it may be sufficient to assume a power sufficient to achieve the link budget and a wider beamwidth, as this would represent the worst case for co-existence.</w:t>
      </w:r>
    </w:p>
    <w:p w14:paraId="7DE0C3E7" w14:textId="77777777" w:rsidR="00AE2462" w:rsidRDefault="00AE2462" w:rsidP="00D2004D">
      <w:pPr>
        <w:pStyle w:val="Doc-text2"/>
        <w:rPr>
          <w:u w:val="single"/>
        </w:rPr>
      </w:pPr>
    </w:p>
    <w:p w14:paraId="4EF17BA1" w14:textId="77777777" w:rsidR="00AE2462" w:rsidRDefault="00AE2462" w:rsidP="00D2004D">
      <w:pPr>
        <w:pStyle w:val="Doc-text2"/>
        <w:rPr>
          <w:u w:val="single"/>
        </w:rPr>
      </w:pPr>
    </w:p>
    <w:p w14:paraId="2D4F11BA" w14:textId="32C87306" w:rsidR="00D2004D" w:rsidRDefault="00BF5D88" w:rsidP="00D2004D">
      <w:pPr>
        <w:pStyle w:val="Doc-text2"/>
      </w:pPr>
      <w:r>
        <w:rPr>
          <w:u w:val="single"/>
        </w:rPr>
        <w:t>UE output power</w:t>
      </w:r>
    </w:p>
    <w:p w14:paraId="2F80BF4E" w14:textId="4C5C6B0C" w:rsidR="00DB5376" w:rsidRDefault="00DE7E24" w:rsidP="00D2004D">
      <w:pPr>
        <w:pStyle w:val="Doc-text2"/>
      </w:pPr>
      <w:r>
        <w:t>An assumption is needed on UE output power for co-existence simulations. For co-existence simulations, it is reasonable to assume a worst case</w:t>
      </w:r>
      <w:r w:rsidR="00DB5376">
        <w:t xml:space="preserve"> so that co-existence will work for lower UE output power.</w:t>
      </w:r>
    </w:p>
    <w:p w14:paraId="10838115" w14:textId="52B0357C" w:rsidR="00DB5376" w:rsidRDefault="00DB5376" w:rsidP="00D2004D">
      <w:pPr>
        <w:pStyle w:val="Doc-text2"/>
      </w:pPr>
      <w:r>
        <w:t>The UE output power has some relation to the antenna assumption</w:t>
      </w:r>
      <w:r w:rsidR="006831EE">
        <w:t>.</w:t>
      </w:r>
    </w:p>
    <w:p w14:paraId="4D00B43B" w14:textId="4F8029FA" w:rsidR="006831EE" w:rsidRDefault="006831EE" w:rsidP="00D2004D">
      <w:pPr>
        <w:pStyle w:val="Doc-text2"/>
      </w:pPr>
      <w:r>
        <w:t>For 2GHz, if an omni-directional antenna is assumed we propose to assume an output power of 50dBm for the UE (even though from an implementation perspective this seems unlikely; it would be needed for the link budget). Alternatively, 40dBm power and 10dB</w:t>
      </w:r>
      <w:r w:rsidR="00040CE0">
        <w:t>i</w:t>
      </w:r>
      <w:r>
        <w:t xml:space="preserve"> antenna gain</w:t>
      </w:r>
      <w:r w:rsidR="0012675B">
        <w:t xml:space="preserve"> (and corresponding array size/pattern pattern)</w:t>
      </w:r>
      <w:r>
        <w:t xml:space="preserve"> could be assumed.</w:t>
      </w:r>
    </w:p>
    <w:p w14:paraId="0588BA79" w14:textId="077A7AC6" w:rsidR="006831EE" w:rsidRDefault="006831EE" w:rsidP="00D2004D">
      <w:pPr>
        <w:pStyle w:val="Doc-text2"/>
      </w:pPr>
      <w:r>
        <w:t xml:space="preserve">For 4GHz, we propose to assume an EIRP from the UE </w:t>
      </w:r>
      <w:r w:rsidR="008350DF">
        <w:t>of 55dBm. How this maps to TRP depends on the antenna assumptions, which should be discussed further.</w:t>
      </w:r>
    </w:p>
    <w:p w14:paraId="2577EBF5" w14:textId="3E600CA2" w:rsidR="008350DF" w:rsidRDefault="008350DF" w:rsidP="008350DF">
      <w:pPr>
        <w:pStyle w:val="Proposal"/>
      </w:pPr>
      <w:bookmarkStart w:id="9" w:name="_Toc118730951"/>
      <w:r>
        <w:t>For 2GHz, if an omni-directional antenna is assumed, assume 50dBm UE output power</w:t>
      </w:r>
      <w:r w:rsidR="0012675B">
        <w:t xml:space="preserve"> (as worst case for simulation purposes)</w:t>
      </w:r>
      <w:r>
        <w:t>. Alternatively assume some UE antenna gain and a lower output power.</w:t>
      </w:r>
      <w:bookmarkEnd w:id="9"/>
    </w:p>
    <w:p w14:paraId="62261104" w14:textId="00C4ACB0" w:rsidR="008350DF" w:rsidRDefault="008350DF" w:rsidP="008350DF">
      <w:pPr>
        <w:pStyle w:val="Proposal"/>
      </w:pPr>
      <w:bookmarkStart w:id="10" w:name="_Toc118730952"/>
      <w:r>
        <w:t>For 4GHz, assume a UE EIRP of 55dBm. FFS on the UE antenna array and TRP needed to achieve this EIRP.</w:t>
      </w:r>
      <w:bookmarkEnd w:id="10"/>
    </w:p>
    <w:p w14:paraId="14219C9B" w14:textId="417EDDBE" w:rsidR="002C6E6D" w:rsidRDefault="002C6E6D" w:rsidP="002C6E6D">
      <w:pPr>
        <w:pStyle w:val="Doc-text2"/>
      </w:pPr>
    </w:p>
    <w:p w14:paraId="0D679F70" w14:textId="4723C50C" w:rsidR="00332505" w:rsidRDefault="00332505" w:rsidP="00332505">
      <w:pPr>
        <w:pStyle w:val="Doc-text2"/>
      </w:pPr>
    </w:p>
    <w:p w14:paraId="424B3759" w14:textId="7FE0C69D" w:rsidR="00332505" w:rsidRDefault="00C34AC1" w:rsidP="00332505">
      <w:pPr>
        <w:pStyle w:val="Doc-text2"/>
        <w:rPr>
          <w:u w:val="single"/>
        </w:rPr>
      </w:pPr>
      <w:r>
        <w:rPr>
          <w:u w:val="single"/>
        </w:rPr>
        <w:t xml:space="preserve">ATG and TN </w:t>
      </w:r>
      <w:r w:rsidR="003F135E">
        <w:rPr>
          <w:u w:val="single"/>
        </w:rPr>
        <w:t>BS antenna array assumption</w:t>
      </w:r>
    </w:p>
    <w:p w14:paraId="5922DFE8" w14:textId="4B0CD533" w:rsidR="003F135E" w:rsidRDefault="00DD06F3" w:rsidP="00332505">
      <w:pPr>
        <w:pStyle w:val="Doc-text2"/>
      </w:pPr>
      <w:r w:rsidRPr="00DD06F3">
        <w:t>For the BS antenna array two options were presented</w:t>
      </w:r>
      <w:r w:rsidR="00FC5B27">
        <w:t xml:space="preserve">, re-using </w:t>
      </w:r>
      <w:r w:rsidR="007E4D09">
        <w:t>element-based</w:t>
      </w:r>
      <w:r w:rsidR="00FC5B27">
        <w:t xml:space="preserve"> array patterns copied from previous co-existence studies or adopting the model incorporated into </w:t>
      </w:r>
      <w:r w:rsidR="00F927E9">
        <w:t xml:space="preserve">TR </w:t>
      </w:r>
      <w:r w:rsidR="00FC5B27">
        <w:t>38.803 and sent to ITU-R.</w:t>
      </w:r>
    </w:p>
    <w:p w14:paraId="3213C7E2" w14:textId="038DE1B7" w:rsidR="00FC5B27" w:rsidRDefault="00FC5B27" w:rsidP="00332505">
      <w:pPr>
        <w:pStyle w:val="Doc-text2"/>
      </w:pPr>
      <w:r>
        <w:t>We re-iterate that the reason for the development of the sub-array model is that regulators have seen that typical BS implementat</w:t>
      </w:r>
      <w:r w:rsidR="00F927E9">
        <w:t>i</w:t>
      </w:r>
      <w:r>
        <w:t>ons in the field are based on sub-arrays and that the antenna models used for 3GPP co-existence simulat</w:t>
      </w:r>
      <w:r w:rsidR="00AC1CB8">
        <w:t>i</w:t>
      </w:r>
      <w:r>
        <w:t xml:space="preserve">ons have not been aligned </w:t>
      </w:r>
      <w:r w:rsidR="005F79F3">
        <w:t xml:space="preserve">to implementation practice. This can have an impact in some circumstances. 3GPP updated the antenna model since it does not look good in regulatory fora if 3GPP co-existence studies are based on models that do not reflect </w:t>
      </w:r>
      <w:r w:rsidR="002211C5">
        <w:t xml:space="preserve">implementations that they see. </w:t>
      </w:r>
    </w:p>
    <w:p w14:paraId="34C708CD" w14:textId="4ED5601D" w:rsidR="00B167F9" w:rsidRDefault="00B167F9" w:rsidP="00B167F9">
      <w:pPr>
        <w:pStyle w:val="Observation"/>
      </w:pPr>
      <w:bookmarkStart w:id="11" w:name="_Toc118730945"/>
      <w:r>
        <w:t>The sub-array model has been sent to ITU-R</w:t>
      </w:r>
      <w:r w:rsidR="00D1558C">
        <w:t>, and it may be good to align models with those used by regulators.</w:t>
      </w:r>
      <w:bookmarkEnd w:id="11"/>
    </w:p>
    <w:p w14:paraId="461075F9" w14:textId="56461026" w:rsidR="002211C5" w:rsidRDefault="002211C5" w:rsidP="00332505">
      <w:pPr>
        <w:pStyle w:val="Doc-text2"/>
      </w:pPr>
      <w:r>
        <w:t xml:space="preserve">It is possible that the 3GPP study on co-existence for ATG may be referred to or examined by regulators, and it may make the regulatory process more difficult if it appears again that the 3GPP </w:t>
      </w:r>
      <w:r w:rsidR="00143E38">
        <w:t>simulations</w:t>
      </w:r>
      <w:r>
        <w:t xml:space="preserve"> are based on old antenna models and not on the model sent to ITU. Although the antenna model </w:t>
      </w:r>
      <w:r w:rsidR="00143E38">
        <w:t xml:space="preserve">may not make a large difference in the ATG simulations, it would be preferable to </w:t>
      </w:r>
      <w:r w:rsidR="00CC0E80">
        <w:t>ensure that the up</w:t>
      </w:r>
      <w:r w:rsidR="00D91CF0">
        <w:t>-</w:t>
      </w:r>
      <w:r w:rsidR="00CC0E80">
        <w:t>to</w:t>
      </w:r>
      <w:r w:rsidR="00D91CF0">
        <w:t>-</w:t>
      </w:r>
      <w:r w:rsidR="00CC0E80">
        <w:t>date model is used in the ATG simulations and so we propose to use the sub-</w:t>
      </w:r>
      <w:proofErr w:type="gramStart"/>
      <w:r w:rsidR="00CC0E80">
        <w:t>array based</w:t>
      </w:r>
      <w:proofErr w:type="gramEnd"/>
      <w:r w:rsidR="00CC0E80">
        <w:t xml:space="preserve"> model from </w:t>
      </w:r>
      <w:r w:rsidR="00D91CF0">
        <w:t xml:space="preserve">TR </w:t>
      </w:r>
      <w:r w:rsidR="00CC0E80">
        <w:t>38.803.</w:t>
      </w:r>
    </w:p>
    <w:p w14:paraId="220DFD99" w14:textId="3AFDA028" w:rsidR="005E27DB" w:rsidRDefault="005E27DB" w:rsidP="005E27DB">
      <w:pPr>
        <w:pStyle w:val="Proposal"/>
      </w:pPr>
      <w:bookmarkStart w:id="12" w:name="_Toc118730953"/>
      <w:r>
        <w:t xml:space="preserve">Use the sub-array model from </w:t>
      </w:r>
      <w:r w:rsidR="00D91CF0">
        <w:t xml:space="preserve">TR </w:t>
      </w:r>
      <w:r>
        <w:t>38.803 for the BS antenna array</w:t>
      </w:r>
      <w:bookmarkEnd w:id="12"/>
    </w:p>
    <w:p w14:paraId="1311C4C2" w14:textId="73D159EC" w:rsidR="00692CC0" w:rsidRDefault="00692CC0" w:rsidP="0087399B">
      <w:pPr>
        <w:pStyle w:val="Doc-text2"/>
        <w:rPr>
          <w:u w:val="single"/>
        </w:rPr>
      </w:pPr>
    </w:p>
    <w:p w14:paraId="41B0FFBC" w14:textId="77777777" w:rsidR="0012675B" w:rsidRDefault="0012675B" w:rsidP="001352C7">
      <w:pPr>
        <w:pStyle w:val="Doc-text2"/>
      </w:pPr>
    </w:p>
    <w:p w14:paraId="27E64A01" w14:textId="77777777" w:rsidR="0012675B" w:rsidRDefault="0012675B" w:rsidP="0012675B">
      <w:pPr>
        <w:pStyle w:val="Doc-text2"/>
      </w:pPr>
      <w:r>
        <w:rPr>
          <w:u w:val="single"/>
        </w:rPr>
        <w:t>TN system parameters</w:t>
      </w:r>
    </w:p>
    <w:p w14:paraId="48B1D923" w14:textId="77777777" w:rsidR="0012675B" w:rsidRDefault="0012675B" w:rsidP="0012675B">
      <w:pPr>
        <w:pStyle w:val="Doc-text2"/>
      </w:pPr>
      <w:r>
        <w:t xml:space="preserve">At RAN4#104bis-e, it was proposed to refer to </w:t>
      </w:r>
      <w:r>
        <w:t xml:space="preserve">TR </w:t>
      </w:r>
      <w:r>
        <w:t xml:space="preserve">38.863 for the TN system parameters. This seems reasonable, however the system parameters in </w:t>
      </w:r>
      <w:r>
        <w:t xml:space="preserve">TR </w:t>
      </w:r>
      <w:r>
        <w:t xml:space="preserve">38.863 do not cover 4GHz. Some additions/differences to </w:t>
      </w:r>
      <w:r>
        <w:t xml:space="preserve">TR </w:t>
      </w:r>
      <w:r>
        <w:t>38.863 are proposed:</w:t>
      </w:r>
    </w:p>
    <w:p w14:paraId="69E3E635" w14:textId="77777777" w:rsidR="0012675B" w:rsidRDefault="0012675B" w:rsidP="0012675B">
      <w:pPr>
        <w:pStyle w:val="Proposal"/>
      </w:pPr>
      <w:bookmarkStart w:id="13" w:name="_Toc118730954"/>
      <w:r>
        <w:t xml:space="preserve">For TN system parameters, take table 6.4.4.2-1 in </w:t>
      </w:r>
      <w:r>
        <w:t xml:space="preserve">TR </w:t>
      </w:r>
      <w:r>
        <w:t>38.863 as a baseline, assuming: 43dBm BS output power for 2GHz, 53dBm BS TRP output power for 4GHz, 30kHz SCS and 100MHz bandwidth for 4GHz.</w:t>
      </w:r>
      <w:bookmarkEnd w:id="13"/>
    </w:p>
    <w:p w14:paraId="0EDF4EFF" w14:textId="77777777" w:rsidR="0012675B" w:rsidRDefault="0012675B" w:rsidP="001352C7">
      <w:pPr>
        <w:pStyle w:val="Doc-text2"/>
      </w:pPr>
    </w:p>
    <w:p w14:paraId="01305F3A" w14:textId="4451EC44" w:rsidR="0032032F" w:rsidRDefault="0032032F" w:rsidP="001352C7">
      <w:pPr>
        <w:pStyle w:val="Doc-text2"/>
      </w:pPr>
    </w:p>
    <w:p w14:paraId="15E1C319" w14:textId="4CBC56EA" w:rsidR="0032032F" w:rsidRDefault="007A377B" w:rsidP="001352C7">
      <w:pPr>
        <w:pStyle w:val="Doc-text2"/>
        <w:rPr>
          <w:u w:val="single"/>
        </w:rPr>
      </w:pPr>
      <w:r>
        <w:rPr>
          <w:u w:val="single"/>
        </w:rPr>
        <w:t>Propagation modelling</w:t>
      </w:r>
    </w:p>
    <w:p w14:paraId="705F2E3D" w14:textId="614F8518" w:rsidR="007A377B" w:rsidRDefault="00D8338E" w:rsidP="001352C7">
      <w:pPr>
        <w:pStyle w:val="Doc-text2"/>
      </w:pPr>
      <w:r>
        <w:t xml:space="preserve">For the TN network (i.e. TN-UE propagation), the existing TN propagation models from e.g. </w:t>
      </w:r>
      <w:r w:rsidRPr="00AE2462">
        <w:t>38.803 can</w:t>
      </w:r>
      <w:r>
        <w:t xml:space="preserve"> be re-used.</w:t>
      </w:r>
    </w:p>
    <w:p w14:paraId="42B1D05F" w14:textId="678C120D" w:rsidR="00F22FE2" w:rsidRDefault="00F22FE2" w:rsidP="00F22FE2">
      <w:pPr>
        <w:pStyle w:val="Proposal"/>
      </w:pPr>
      <w:bookmarkStart w:id="14" w:name="_Toc118730955"/>
      <w:r>
        <w:t>For TN  BS-UE propagation, apply a TN propagation model</w:t>
      </w:r>
      <w:bookmarkEnd w:id="14"/>
    </w:p>
    <w:p w14:paraId="032DCF87" w14:textId="039D6A6C" w:rsidR="00D8338E" w:rsidRDefault="00D8338E" w:rsidP="001352C7">
      <w:pPr>
        <w:pStyle w:val="Doc-text2"/>
      </w:pPr>
      <w:r>
        <w:t>The ATG BS and TN BS are assumed to be at around 25m height in a non-urban area</w:t>
      </w:r>
      <w:r w:rsidR="00E451FB">
        <w:t>. Since there will not be much clutter and the BS are well above any clutter, the most appropriate propagation model from ATG UE to TN/</w:t>
      </w:r>
      <w:r w:rsidR="00F22FE2">
        <w:t xml:space="preserve">ATG BS </w:t>
      </w:r>
      <w:r w:rsidR="00E451FB">
        <w:t xml:space="preserve">is </w:t>
      </w:r>
      <w:proofErr w:type="spellStart"/>
      <w:r w:rsidR="00E451FB">
        <w:t>LoS</w:t>
      </w:r>
      <w:proofErr w:type="spellEnd"/>
      <w:r w:rsidR="00E451FB">
        <w:t>.</w:t>
      </w:r>
    </w:p>
    <w:p w14:paraId="490861B6" w14:textId="6333C7D4" w:rsidR="00F22FE2" w:rsidRDefault="00E16818" w:rsidP="00E16818">
      <w:pPr>
        <w:pStyle w:val="Proposal"/>
      </w:pPr>
      <w:bookmarkStart w:id="15" w:name="_Toc118730956"/>
      <w:r>
        <w:t xml:space="preserve">For ATG UE – ATG/TN BS propagation, use </w:t>
      </w:r>
      <w:proofErr w:type="spellStart"/>
      <w:r>
        <w:t>LoS</w:t>
      </w:r>
      <w:proofErr w:type="spellEnd"/>
      <w:r>
        <w:t xml:space="preserve"> propagation model</w:t>
      </w:r>
      <w:bookmarkEnd w:id="15"/>
    </w:p>
    <w:p w14:paraId="1510C964" w14:textId="3007A242" w:rsidR="00E451FB" w:rsidRDefault="00E451FB" w:rsidP="001352C7">
      <w:pPr>
        <w:pStyle w:val="Doc-text2"/>
      </w:pPr>
      <w:r>
        <w:t>For propagation between a</w:t>
      </w:r>
      <w:r w:rsidR="00F22FE2">
        <w:t xml:space="preserve">n ATG UE and a TN UE, since the TN UE is at roughly ground level and the ATG UE will be distant from the TN UE, it is reasonable to re-use the NTN channel model as </w:t>
      </w:r>
      <w:r w:rsidR="00F22FE2" w:rsidRPr="00AE2462">
        <w:t>used in 38.863.</w:t>
      </w:r>
    </w:p>
    <w:p w14:paraId="2FE88F5A" w14:textId="548603B4" w:rsidR="00F22FE2" w:rsidRDefault="00E16818" w:rsidP="00E16818">
      <w:pPr>
        <w:pStyle w:val="Proposal"/>
      </w:pPr>
      <w:bookmarkStart w:id="16" w:name="_Toc118730957"/>
      <w:r>
        <w:t>For ATG UE – TN UE propagation, use the NTN propagation model</w:t>
      </w:r>
      <w:bookmarkEnd w:id="16"/>
    </w:p>
    <w:p w14:paraId="10D6FAD6" w14:textId="0A9BA44F" w:rsidR="00E16818" w:rsidRDefault="00E16818" w:rsidP="00E16818">
      <w:pPr>
        <w:pStyle w:val="Doc-text2"/>
      </w:pPr>
      <w:r>
        <w:t>For BS-BS propagation, since the BS are at around 25m height it is reasonable to expect direct propagation with</w:t>
      </w:r>
      <w:r w:rsidR="0016565C">
        <w:t xml:space="preserve"> and </w:t>
      </w:r>
      <w:proofErr w:type="spellStart"/>
      <w:r w:rsidR="0016565C">
        <w:t>LoS</w:t>
      </w:r>
      <w:proofErr w:type="spellEnd"/>
      <w:r w:rsidR="0016565C">
        <w:t xml:space="preserve"> is probably sufficient.</w:t>
      </w:r>
    </w:p>
    <w:p w14:paraId="0FFB21C6" w14:textId="4FC7B476" w:rsidR="0016565C" w:rsidRPr="00E16818" w:rsidRDefault="0016565C" w:rsidP="0016565C">
      <w:pPr>
        <w:pStyle w:val="Proposal"/>
      </w:pPr>
      <w:bookmarkStart w:id="17" w:name="_Toc118730958"/>
      <w:r>
        <w:t xml:space="preserve">For TN BS – ATG BS propagation, assume </w:t>
      </w:r>
      <w:proofErr w:type="spellStart"/>
      <w:r>
        <w:t>LoS</w:t>
      </w:r>
      <w:bookmarkEnd w:id="17"/>
      <w:proofErr w:type="spellEnd"/>
    </w:p>
    <w:p w14:paraId="2962CF04" w14:textId="4E3856A7" w:rsidR="00FD354B" w:rsidRPr="00FD354B" w:rsidRDefault="00FD354B" w:rsidP="00FD354B">
      <w:pPr>
        <w:pStyle w:val="Proposal"/>
        <w:numPr>
          <w:ilvl w:val="0"/>
          <w:numId w:val="0"/>
        </w:numPr>
        <w:ind w:left="1701" w:hanging="1701"/>
        <w:rPr>
          <w:b w:val="0"/>
          <w:bCs w:val="0"/>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EA38368" w14:textId="28AD9B1E" w:rsidR="00205E5F"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730942" w:history="1">
        <w:r w:rsidR="00205E5F" w:rsidRPr="00753220">
          <w:rPr>
            <w:rStyle w:val="Hyperlink"/>
            <w:noProof/>
          </w:rPr>
          <w:t>Observation 1</w:t>
        </w:r>
        <w:r w:rsidR="00205E5F">
          <w:rPr>
            <w:rFonts w:asciiTheme="minorHAnsi" w:eastAsiaTheme="minorEastAsia" w:hAnsiTheme="minorHAnsi"/>
            <w:b w:val="0"/>
            <w:noProof/>
            <w:sz w:val="22"/>
            <w:lang w:val="en-SE" w:eastAsia="en-SE"/>
          </w:rPr>
          <w:tab/>
        </w:r>
        <w:r w:rsidR="00205E5F" w:rsidRPr="00753220">
          <w:rPr>
            <w:rStyle w:val="Hyperlink"/>
            <w:noProof/>
          </w:rPr>
          <w:t>The ATG cell size does not have a large impact on the simulation results for any of the cases</w:t>
        </w:r>
      </w:hyperlink>
    </w:p>
    <w:p w14:paraId="71F51BAC" w14:textId="432FDBBF"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43" w:history="1">
        <w:r w:rsidRPr="00753220">
          <w:rPr>
            <w:rStyle w:val="Hyperlink"/>
            <w:noProof/>
          </w:rPr>
          <w:t>Observation 2</w:t>
        </w:r>
        <w:r>
          <w:rPr>
            <w:rFonts w:asciiTheme="minorHAnsi" w:eastAsiaTheme="minorEastAsia" w:hAnsiTheme="minorHAnsi"/>
            <w:b w:val="0"/>
            <w:noProof/>
            <w:sz w:val="22"/>
            <w:lang w:val="en-SE" w:eastAsia="en-SE"/>
          </w:rPr>
          <w:tab/>
        </w:r>
        <w:r w:rsidRPr="00753220">
          <w:rPr>
            <w:rStyle w:val="Hyperlink"/>
            <w:noProof/>
          </w:rPr>
          <w:t>The worst case for ATG (Agressor)-TN (Victim) UL and TN (Agressor)-ATG(victim) DL might be with the TN directly below the aircraft</w:t>
        </w:r>
      </w:hyperlink>
    </w:p>
    <w:p w14:paraId="63338F17" w14:textId="1D1916D4"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44" w:history="1">
        <w:r w:rsidRPr="00753220">
          <w:rPr>
            <w:rStyle w:val="Hyperlink"/>
            <w:noProof/>
          </w:rPr>
          <w:t>Observation 3</w:t>
        </w:r>
        <w:r>
          <w:rPr>
            <w:rFonts w:asciiTheme="minorHAnsi" w:eastAsiaTheme="minorEastAsia" w:hAnsiTheme="minorHAnsi"/>
            <w:b w:val="0"/>
            <w:noProof/>
            <w:sz w:val="22"/>
            <w:lang w:val="en-SE" w:eastAsia="en-SE"/>
          </w:rPr>
          <w:tab/>
        </w:r>
        <w:r w:rsidRPr="00753220">
          <w:rPr>
            <w:rStyle w:val="Hyperlink"/>
            <w:noProof/>
          </w:rPr>
          <w:t>It may be impractical to build a high power omni-directional UE physically, but as an assumption for a co-existence simulation it may be OK since it will have a wide beamwidth and highest expected power.</w:t>
        </w:r>
      </w:hyperlink>
    </w:p>
    <w:p w14:paraId="4C055E11" w14:textId="5E96F3F5"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45" w:history="1">
        <w:r w:rsidRPr="00753220">
          <w:rPr>
            <w:rStyle w:val="Hyperlink"/>
            <w:noProof/>
          </w:rPr>
          <w:t>Observation 4</w:t>
        </w:r>
        <w:r>
          <w:rPr>
            <w:rFonts w:asciiTheme="minorHAnsi" w:eastAsiaTheme="minorEastAsia" w:hAnsiTheme="minorHAnsi"/>
            <w:b w:val="0"/>
            <w:noProof/>
            <w:sz w:val="22"/>
            <w:lang w:val="en-SE" w:eastAsia="en-SE"/>
          </w:rPr>
          <w:tab/>
        </w:r>
        <w:r w:rsidRPr="00753220">
          <w:rPr>
            <w:rStyle w:val="Hyperlink"/>
            <w:noProof/>
          </w:rPr>
          <w:t>The sub-array model has been sent to ITU-R, and it may be good to align models with those used by regulators.</w:t>
        </w:r>
      </w:hyperlink>
    </w:p>
    <w:p w14:paraId="5F69EC0F" w14:textId="04F67D8F"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FB3024" w14:textId="058B59D8" w:rsidR="00205E5F"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8730946" w:history="1">
        <w:r w:rsidR="00205E5F" w:rsidRPr="007E340E">
          <w:rPr>
            <w:rStyle w:val="Hyperlink"/>
            <w:noProof/>
          </w:rPr>
          <w:t>Proposal 1</w:t>
        </w:r>
        <w:r w:rsidR="00205E5F">
          <w:rPr>
            <w:rFonts w:asciiTheme="minorHAnsi" w:eastAsiaTheme="minorEastAsia" w:hAnsiTheme="minorHAnsi"/>
            <w:b w:val="0"/>
            <w:noProof/>
            <w:sz w:val="22"/>
            <w:lang w:val="en-SE" w:eastAsia="en-SE"/>
          </w:rPr>
          <w:tab/>
        </w:r>
        <w:r w:rsidR="00205E5F" w:rsidRPr="007E340E">
          <w:rPr>
            <w:rStyle w:val="Hyperlink"/>
            <w:noProof/>
          </w:rPr>
          <w:t>Update the assumption for ATG (Agressor)-TN (Victim) UL and TN (Agressor)-ATG(victim) DL TN position to consider TN placed at the ATG site and also TN directly below the aircraft (whichever is the worst case, depending on the UE antenna assumption).</w:t>
        </w:r>
      </w:hyperlink>
    </w:p>
    <w:p w14:paraId="0572E266" w14:textId="4F8448F2"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47" w:history="1">
        <w:r w:rsidRPr="007E340E">
          <w:rPr>
            <w:rStyle w:val="Hyperlink"/>
            <w:noProof/>
            <w:lang w:val="en-GB"/>
          </w:rPr>
          <w:t>Proposal 2</w:t>
        </w:r>
        <w:r>
          <w:rPr>
            <w:rFonts w:asciiTheme="minorHAnsi" w:eastAsiaTheme="minorEastAsia" w:hAnsiTheme="minorHAnsi"/>
            <w:b w:val="0"/>
            <w:noProof/>
            <w:sz w:val="22"/>
            <w:lang w:val="en-SE" w:eastAsia="en-SE"/>
          </w:rPr>
          <w:tab/>
        </w:r>
        <w:r w:rsidRPr="007E340E">
          <w:rPr>
            <w:rStyle w:val="Hyperlink"/>
            <w:noProof/>
            <w:lang w:val="en-GB"/>
          </w:rPr>
          <w:t>For n1 (2GHz), position ATG UEs between 50-200km from the ATG BS in the co-existence simulations assuming 5.85 degrees uptilt</w:t>
        </w:r>
      </w:hyperlink>
    </w:p>
    <w:p w14:paraId="23640659" w14:textId="1584D819"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48" w:history="1">
        <w:r w:rsidRPr="007E340E">
          <w:rPr>
            <w:rStyle w:val="Hyperlink"/>
            <w:noProof/>
            <w:lang w:val="en-GB"/>
          </w:rPr>
          <w:t>Proposal 3</w:t>
        </w:r>
        <w:r>
          <w:rPr>
            <w:rFonts w:asciiTheme="minorHAnsi" w:eastAsiaTheme="minorEastAsia" w:hAnsiTheme="minorHAnsi"/>
            <w:b w:val="0"/>
            <w:noProof/>
            <w:sz w:val="22"/>
            <w:lang w:val="en-SE" w:eastAsia="en-SE"/>
          </w:rPr>
          <w:tab/>
        </w:r>
        <w:r w:rsidRPr="007E340E">
          <w:rPr>
            <w:rStyle w:val="Hyperlink"/>
            <w:noProof/>
            <w:lang w:val="en-GB"/>
          </w:rPr>
          <w:t>For 4GHz, position ATG UEs between 50-200km from the ATG BS in the co-existence simulations assuming 5.85 degrees uptilt</w:t>
        </w:r>
      </w:hyperlink>
    </w:p>
    <w:p w14:paraId="4F544D03" w14:textId="05F4D1C6"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49" w:history="1">
        <w:r w:rsidRPr="007E340E">
          <w:rPr>
            <w:rStyle w:val="Hyperlink"/>
            <w:noProof/>
          </w:rPr>
          <w:t>Proposal 4</w:t>
        </w:r>
        <w:r>
          <w:rPr>
            <w:rFonts w:asciiTheme="minorHAnsi" w:eastAsiaTheme="minorEastAsia" w:hAnsiTheme="minorHAnsi"/>
            <w:b w:val="0"/>
            <w:noProof/>
            <w:sz w:val="22"/>
            <w:lang w:val="en-SE" w:eastAsia="en-SE"/>
          </w:rPr>
          <w:tab/>
        </w:r>
        <w:r w:rsidRPr="007E340E">
          <w:rPr>
            <w:rStyle w:val="Hyperlink"/>
            <w:noProof/>
          </w:rPr>
          <w:t>Assume 5.85 degrees uptilt</w:t>
        </w:r>
      </w:hyperlink>
    </w:p>
    <w:p w14:paraId="701B4D45" w14:textId="1F84736B"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50" w:history="1">
        <w:r w:rsidRPr="007E340E">
          <w:rPr>
            <w:rStyle w:val="Hyperlink"/>
            <w:noProof/>
          </w:rPr>
          <w:t>Proposal 5</w:t>
        </w:r>
        <w:r>
          <w:rPr>
            <w:rFonts w:asciiTheme="minorHAnsi" w:eastAsiaTheme="minorEastAsia" w:hAnsiTheme="minorHAnsi"/>
            <w:b w:val="0"/>
            <w:noProof/>
            <w:sz w:val="22"/>
            <w:lang w:val="en-SE" w:eastAsia="en-SE"/>
          </w:rPr>
          <w:tab/>
        </w:r>
        <w:r w:rsidRPr="007E340E">
          <w:rPr>
            <w:rStyle w:val="Hyperlink"/>
            <w:noProof/>
          </w:rPr>
          <w:t>BS height is 27.5m</w:t>
        </w:r>
      </w:hyperlink>
    </w:p>
    <w:p w14:paraId="62704075" w14:textId="112ED2C7"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51" w:history="1">
        <w:r w:rsidRPr="007E340E">
          <w:rPr>
            <w:rStyle w:val="Hyperlink"/>
            <w:noProof/>
          </w:rPr>
          <w:t>Proposal 6</w:t>
        </w:r>
        <w:r>
          <w:rPr>
            <w:rFonts w:asciiTheme="minorHAnsi" w:eastAsiaTheme="minorEastAsia" w:hAnsiTheme="minorHAnsi"/>
            <w:b w:val="0"/>
            <w:noProof/>
            <w:sz w:val="22"/>
            <w:lang w:val="en-SE" w:eastAsia="en-SE"/>
          </w:rPr>
          <w:tab/>
        </w:r>
        <w:r w:rsidRPr="007E340E">
          <w:rPr>
            <w:rStyle w:val="Hyperlink"/>
            <w:noProof/>
          </w:rPr>
          <w:t>For 2GHz, if an omni-directional antenna is assumed, assume 50dBm UE output power (as worst case for simulation purposes). Alternatively assume some UE antenna gain and a lower output power.</w:t>
        </w:r>
      </w:hyperlink>
    </w:p>
    <w:p w14:paraId="0765B408" w14:textId="079779B0"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52" w:history="1">
        <w:r w:rsidRPr="007E340E">
          <w:rPr>
            <w:rStyle w:val="Hyperlink"/>
            <w:noProof/>
          </w:rPr>
          <w:t>Proposal 7</w:t>
        </w:r>
        <w:r>
          <w:rPr>
            <w:rFonts w:asciiTheme="minorHAnsi" w:eastAsiaTheme="minorEastAsia" w:hAnsiTheme="minorHAnsi"/>
            <w:b w:val="0"/>
            <w:noProof/>
            <w:sz w:val="22"/>
            <w:lang w:val="en-SE" w:eastAsia="en-SE"/>
          </w:rPr>
          <w:tab/>
        </w:r>
        <w:r w:rsidRPr="007E340E">
          <w:rPr>
            <w:rStyle w:val="Hyperlink"/>
            <w:noProof/>
          </w:rPr>
          <w:t>For 4GHz, assume a UE EIRP of 55dBm. FFS on the UE antenna array and TRP needed to achieve this EIRP.</w:t>
        </w:r>
      </w:hyperlink>
    </w:p>
    <w:p w14:paraId="63B83D1E" w14:textId="57C24C67"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53" w:history="1">
        <w:r w:rsidRPr="007E340E">
          <w:rPr>
            <w:rStyle w:val="Hyperlink"/>
            <w:noProof/>
          </w:rPr>
          <w:t>Proposal 8</w:t>
        </w:r>
        <w:r>
          <w:rPr>
            <w:rFonts w:asciiTheme="minorHAnsi" w:eastAsiaTheme="minorEastAsia" w:hAnsiTheme="minorHAnsi"/>
            <w:b w:val="0"/>
            <w:noProof/>
            <w:sz w:val="22"/>
            <w:lang w:val="en-SE" w:eastAsia="en-SE"/>
          </w:rPr>
          <w:tab/>
        </w:r>
        <w:r w:rsidRPr="007E340E">
          <w:rPr>
            <w:rStyle w:val="Hyperlink"/>
            <w:noProof/>
          </w:rPr>
          <w:t>Use the sub-array model from TR 38.803 for the BS antenna array</w:t>
        </w:r>
      </w:hyperlink>
    </w:p>
    <w:p w14:paraId="2E0D9A2A" w14:textId="34306E69"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54" w:history="1">
        <w:r w:rsidRPr="007E340E">
          <w:rPr>
            <w:rStyle w:val="Hyperlink"/>
            <w:noProof/>
          </w:rPr>
          <w:t>Proposal 9</w:t>
        </w:r>
        <w:r>
          <w:rPr>
            <w:rFonts w:asciiTheme="minorHAnsi" w:eastAsiaTheme="minorEastAsia" w:hAnsiTheme="minorHAnsi"/>
            <w:b w:val="0"/>
            <w:noProof/>
            <w:sz w:val="22"/>
            <w:lang w:val="en-SE" w:eastAsia="en-SE"/>
          </w:rPr>
          <w:tab/>
        </w:r>
        <w:r w:rsidRPr="007E340E">
          <w:rPr>
            <w:rStyle w:val="Hyperlink"/>
            <w:noProof/>
          </w:rPr>
          <w:t>For TN system parameters, take table 6.4.4.2-1 in TR 38.863 as a baseline, assuming: 43dBm BS output power for 2GHz, 53dBm BS TRP output power for 4GHz, 30kHz SCS and 100MHz bandwidth for 4GHz.</w:t>
        </w:r>
      </w:hyperlink>
    </w:p>
    <w:p w14:paraId="5AE0172C" w14:textId="7CAD79B8"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55" w:history="1">
        <w:r w:rsidRPr="007E340E">
          <w:rPr>
            <w:rStyle w:val="Hyperlink"/>
            <w:noProof/>
          </w:rPr>
          <w:t>Proposal 10</w:t>
        </w:r>
        <w:r>
          <w:rPr>
            <w:rFonts w:asciiTheme="minorHAnsi" w:eastAsiaTheme="minorEastAsia" w:hAnsiTheme="minorHAnsi"/>
            <w:b w:val="0"/>
            <w:noProof/>
            <w:sz w:val="22"/>
            <w:lang w:val="en-SE" w:eastAsia="en-SE"/>
          </w:rPr>
          <w:tab/>
        </w:r>
        <w:r w:rsidRPr="007E340E">
          <w:rPr>
            <w:rStyle w:val="Hyperlink"/>
            <w:noProof/>
          </w:rPr>
          <w:t>For TN  BS-UE propagation, apply a TN propagation model</w:t>
        </w:r>
      </w:hyperlink>
    </w:p>
    <w:p w14:paraId="61E5CB9F" w14:textId="3CF5FCCC"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56" w:history="1">
        <w:r w:rsidRPr="007E340E">
          <w:rPr>
            <w:rStyle w:val="Hyperlink"/>
            <w:noProof/>
          </w:rPr>
          <w:t>Proposal 11</w:t>
        </w:r>
        <w:r>
          <w:rPr>
            <w:rFonts w:asciiTheme="minorHAnsi" w:eastAsiaTheme="minorEastAsia" w:hAnsiTheme="minorHAnsi"/>
            <w:b w:val="0"/>
            <w:noProof/>
            <w:sz w:val="22"/>
            <w:lang w:val="en-SE" w:eastAsia="en-SE"/>
          </w:rPr>
          <w:tab/>
        </w:r>
        <w:r w:rsidRPr="007E340E">
          <w:rPr>
            <w:rStyle w:val="Hyperlink"/>
            <w:noProof/>
          </w:rPr>
          <w:t>For ATG UE – ATG/TN BS propagation, use LoS propagation model</w:t>
        </w:r>
      </w:hyperlink>
    </w:p>
    <w:p w14:paraId="47C18E65" w14:textId="64C93C53"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57" w:history="1">
        <w:r w:rsidRPr="007E340E">
          <w:rPr>
            <w:rStyle w:val="Hyperlink"/>
            <w:noProof/>
          </w:rPr>
          <w:t>Proposal 12</w:t>
        </w:r>
        <w:r>
          <w:rPr>
            <w:rFonts w:asciiTheme="minorHAnsi" w:eastAsiaTheme="minorEastAsia" w:hAnsiTheme="minorHAnsi"/>
            <w:b w:val="0"/>
            <w:noProof/>
            <w:sz w:val="22"/>
            <w:lang w:val="en-SE" w:eastAsia="en-SE"/>
          </w:rPr>
          <w:tab/>
        </w:r>
        <w:r w:rsidRPr="007E340E">
          <w:rPr>
            <w:rStyle w:val="Hyperlink"/>
            <w:noProof/>
          </w:rPr>
          <w:t>For ATG UE – TN UE propagation, use the NTN propagation model</w:t>
        </w:r>
      </w:hyperlink>
    </w:p>
    <w:p w14:paraId="6780874A" w14:textId="2BB560C0" w:rsidR="00205E5F" w:rsidRDefault="00205E5F">
      <w:pPr>
        <w:pStyle w:val="TableofFigures"/>
        <w:tabs>
          <w:tab w:val="right" w:leader="dot" w:pos="9629"/>
        </w:tabs>
        <w:rPr>
          <w:rFonts w:asciiTheme="minorHAnsi" w:eastAsiaTheme="minorEastAsia" w:hAnsiTheme="minorHAnsi"/>
          <w:b w:val="0"/>
          <w:noProof/>
          <w:sz w:val="22"/>
          <w:lang w:val="en-SE" w:eastAsia="en-SE"/>
        </w:rPr>
      </w:pPr>
      <w:hyperlink w:anchor="_Toc118730958" w:history="1">
        <w:r w:rsidRPr="007E340E">
          <w:rPr>
            <w:rStyle w:val="Hyperlink"/>
            <w:noProof/>
          </w:rPr>
          <w:t>Proposal 13</w:t>
        </w:r>
        <w:r>
          <w:rPr>
            <w:rFonts w:asciiTheme="minorHAnsi" w:eastAsiaTheme="minorEastAsia" w:hAnsiTheme="minorHAnsi"/>
            <w:b w:val="0"/>
            <w:noProof/>
            <w:sz w:val="22"/>
            <w:lang w:val="en-SE" w:eastAsia="en-SE"/>
          </w:rPr>
          <w:tab/>
        </w:r>
        <w:r w:rsidRPr="007E340E">
          <w:rPr>
            <w:rStyle w:val="Hyperlink"/>
            <w:noProof/>
          </w:rPr>
          <w:t>For TN BS – ATG BS propagation, assume LoS</w:t>
        </w:r>
      </w:hyperlink>
    </w:p>
    <w:p w14:paraId="747C743C" w14:textId="48D3107A"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2CE68" w14:textId="77777777" w:rsidR="00BA2D57" w:rsidRDefault="00BA2D57">
      <w:r>
        <w:separator/>
      </w:r>
    </w:p>
  </w:endnote>
  <w:endnote w:type="continuationSeparator" w:id="0">
    <w:p w14:paraId="0EB21F29" w14:textId="77777777" w:rsidR="00BA2D57" w:rsidRDefault="00BA2D57">
      <w:r>
        <w:continuationSeparator/>
      </w:r>
    </w:p>
  </w:endnote>
  <w:endnote w:type="continuationNotice" w:id="1">
    <w:p w14:paraId="66C13434" w14:textId="77777777" w:rsidR="00BA2D57" w:rsidRDefault="00BA2D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17618" w14:textId="77777777" w:rsidR="00BA2D57" w:rsidRDefault="00BA2D57">
      <w:r>
        <w:separator/>
      </w:r>
    </w:p>
  </w:footnote>
  <w:footnote w:type="continuationSeparator" w:id="0">
    <w:p w14:paraId="01B3EF3D" w14:textId="77777777" w:rsidR="00BA2D57" w:rsidRDefault="00BA2D57">
      <w:r>
        <w:continuationSeparator/>
      </w:r>
    </w:p>
  </w:footnote>
  <w:footnote w:type="continuationNotice" w:id="1">
    <w:p w14:paraId="2CCC7701" w14:textId="77777777" w:rsidR="00BA2D57" w:rsidRDefault="00BA2D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2C222F"/>
    <w:multiLevelType w:val="hybridMultilevel"/>
    <w:tmpl w:val="5024E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C27"/>
    <w:rsid w:val="00015D15"/>
    <w:rsid w:val="0002564D"/>
    <w:rsid w:val="00025ECA"/>
    <w:rsid w:val="000325B8"/>
    <w:rsid w:val="000343D1"/>
    <w:rsid w:val="00034C15"/>
    <w:rsid w:val="00036BA1"/>
    <w:rsid w:val="00040CE0"/>
    <w:rsid w:val="000422E2"/>
    <w:rsid w:val="00042F22"/>
    <w:rsid w:val="000444EF"/>
    <w:rsid w:val="00044633"/>
    <w:rsid w:val="00050EA2"/>
    <w:rsid w:val="00052A07"/>
    <w:rsid w:val="000534E3"/>
    <w:rsid w:val="00054CA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9B0"/>
    <w:rsid w:val="001062FB"/>
    <w:rsid w:val="001063E6"/>
    <w:rsid w:val="00113CF4"/>
    <w:rsid w:val="001153EA"/>
    <w:rsid w:val="00115643"/>
    <w:rsid w:val="00116765"/>
    <w:rsid w:val="001219F5"/>
    <w:rsid w:val="00121A20"/>
    <w:rsid w:val="0012377F"/>
    <w:rsid w:val="00124314"/>
    <w:rsid w:val="0012675B"/>
    <w:rsid w:val="00126B4A"/>
    <w:rsid w:val="00132FD0"/>
    <w:rsid w:val="001344C0"/>
    <w:rsid w:val="001346FA"/>
    <w:rsid w:val="00135252"/>
    <w:rsid w:val="001352C7"/>
    <w:rsid w:val="00137AB5"/>
    <w:rsid w:val="00137F0B"/>
    <w:rsid w:val="00143E38"/>
    <w:rsid w:val="00151E23"/>
    <w:rsid w:val="001526E0"/>
    <w:rsid w:val="001536E0"/>
    <w:rsid w:val="001551B5"/>
    <w:rsid w:val="00156ACD"/>
    <w:rsid w:val="0016565C"/>
    <w:rsid w:val="001659C1"/>
    <w:rsid w:val="0017139F"/>
    <w:rsid w:val="00173A8E"/>
    <w:rsid w:val="0017502C"/>
    <w:rsid w:val="00177B5A"/>
    <w:rsid w:val="0018143F"/>
    <w:rsid w:val="00181FF8"/>
    <w:rsid w:val="00190AC1"/>
    <w:rsid w:val="0019285D"/>
    <w:rsid w:val="0019341A"/>
    <w:rsid w:val="00197DF9"/>
    <w:rsid w:val="001A1987"/>
    <w:rsid w:val="001A2564"/>
    <w:rsid w:val="001A6173"/>
    <w:rsid w:val="001A6CBA"/>
    <w:rsid w:val="001B0D97"/>
    <w:rsid w:val="001B5A5D"/>
    <w:rsid w:val="001C086D"/>
    <w:rsid w:val="001C14DC"/>
    <w:rsid w:val="001C1CE5"/>
    <w:rsid w:val="001C3D2A"/>
    <w:rsid w:val="001D51BA"/>
    <w:rsid w:val="001D53E7"/>
    <w:rsid w:val="001D6342"/>
    <w:rsid w:val="001D6D53"/>
    <w:rsid w:val="001E3A2B"/>
    <w:rsid w:val="001E58E2"/>
    <w:rsid w:val="001E7AED"/>
    <w:rsid w:val="001F10C6"/>
    <w:rsid w:val="001F1F6F"/>
    <w:rsid w:val="001F3916"/>
    <w:rsid w:val="001F54C5"/>
    <w:rsid w:val="001F662C"/>
    <w:rsid w:val="001F7074"/>
    <w:rsid w:val="00200490"/>
    <w:rsid w:val="00201F3A"/>
    <w:rsid w:val="00203F96"/>
    <w:rsid w:val="00205E5F"/>
    <w:rsid w:val="002069B2"/>
    <w:rsid w:val="00207FA3"/>
    <w:rsid w:val="00214DA8"/>
    <w:rsid w:val="00215423"/>
    <w:rsid w:val="002158FA"/>
    <w:rsid w:val="00220600"/>
    <w:rsid w:val="002211C5"/>
    <w:rsid w:val="002224DB"/>
    <w:rsid w:val="00223FCB"/>
    <w:rsid w:val="002252C3"/>
    <w:rsid w:val="00225C54"/>
    <w:rsid w:val="00230765"/>
    <w:rsid w:val="00230D18"/>
    <w:rsid w:val="002319E4"/>
    <w:rsid w:val="00234EA4"/>
    <w:rsid w:val="00235632"/>
    <w:rsid w:val="00235872"/>
    <w:rsid w:val="00241559"/>
    <w:rsid w:val="002435B3"/>
    <w:rsid w:val="002458EB"/>
    <w:rsid w:val="00245AAA"/>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95B"/>
    <w:rsid w:val="00296227"/>
    <w:rsid w:val="00296F44"/>
    <w:rsid w:val="0029777D"/>
    <w:rsid w:val="002A055E"/>
    <w:rsid w:val="002A1D4E"/>
    <w:rsid w:val="002A2869"/>
    <w:rsid w:val="002A578E"/>
    <w:rsid w:val="002A6E4F"/>
    <w:rsid w:val="002B24D6"/>
    <w:rsid w:val="002C41E6"/>
    <w:rsid w:val="002C6E6D"/>
    <w:rsid w:val="002D071A"/>
    <w:rsid w:val="002D2CC1"/>
    <w:rsid w:val="002D34B2"/>
    <w:rsid w:val="002D48B0"/>
    <w:rsid w:val="002D5B37"/>
    <w:rsid w:val="002D7296"/>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2F"/>
    <w:rsid w:val="003203ED"/>
    <w:rsid w:val="00322C9F"/>
    <w:rsid w:val="00324D23"/>
    <w:rsid w:val="00331751"/>
    <w:rsid w:val="00332505"/>
    <w:rsid w:val="00334579"/>
    <w:rsid w:val="00335858"/>
    <w:rsid w:val="00336BDA"/>
    <w:rsid w:val="00342BD7"/>
    <w:rsid w:val="00344381"/>
    <w:rsid w:val="00346DB5"/>
    <w:rsid w:val="003477B1"/>
    <w:rsid w:val="00357380"/>
    <w:rsid w:val="003602D9"/>
    <w:rsid w:val="003604CE"/>
    <w:rsid w:val="00370E47"/>
    <w:rsid w:val="003742AC"/>
    <w:rsid w:val="00377CE1"/>
    <w:rsid w:val="00381989"/>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1847"/>
    <w:rsid w:val="003E55E4"/>
    <w:rsid w:val="003E74E3"/>
    <w:rsid w:val="003F05C7"/>
    <w:rsid w:val="003F0823"/>
    <w:rsid w:val="003F1252"/>
    <w:rsid w:val="003F135E"/>
    <w:rsid w:val="003F2935"/>
    <w:rsid w:val="003F2CD4"/>
    <w:rsid w:val="003F6BBE"/>
    <w:rsid w:val="003F794E"/>
    <w:rsid w:val="004000E8"/>
    <w:rsid w:val="00402E2B"/>
    <w:rsid w:val="0040512B"/>
    <w:rsid w:val="00405CA5"/>
    <w:rsid w:val="00407CD3"/>
    <w:rsid w:val="00410134"/>
    <w:rsid w:val="00410B72"/>
    <w:rsid w:val="00410F18"/>
    <w:rsid w:val="0041263E"/>
    <w:rsid w:val="00413AAC"/>
    <w:rsid w:val="00413E92"/>
    <w:rsid w:val="00414E92"/>
    <w:rsid w:val="00420CF7"/>
    <w:rsid w:val="00421105"/>
    <w:rsid w:val="00422AA4"/>
    <w:rsid w:val="004242F4"/>
    <w:rsid w:val="00427248"/>
    <w:rsid w:val="00437447"/>
    <w:rsid w:val="00441A92"/>
    <w:rsid w:val="004431DC"/>
    <w:rsid w:val="00444F56"/>
    <w:rsid w:val="00446488"/>
    <w:rsid w:val="00450641"/>
    <w:rsid w:val="004517AA"/>
    <w:rsid w:val="00452CAC"/>
    <w:rsid w:val="00457565"/>
    <w:rsid w:val="00457B71"/>
    <w:rsid w:val="00464689"/>
    <w:rsid w:val="00466006"/>
    <w:rsid w:val="004669E2"/>
    <w:rsid w:val="00470C31"/>
    <w:rsid w:val="00471DE0"/>
    <w:rsid w:val="004734D0"/>
    <w:rsid w:val="0047556B"/>
    <w:rsid w:val="00477768"/>
    <w:rsid w:val="00485B87"/>
    <w:rsid w:val="00492BC5"/>
    <w:rsid w:val="0049392A"/>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2DC"/>
    <w:rsid w:val="00534B59"/>
    <w:rsid w:val="00536759"/>
    <w:rsid w:val="00537C62"/>
    <w:rsid w:val="00546970"/>
    <w:rsid w:val="00554E19"/>
    <w:rsid w:val="0056121F"/>
    <w:rsid w:val="00567616"/>
    <w:rsid w:val="005721A8"/>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6E"/>
    <w:rsid w:val="005D1602"/>
    <w:rsid w:val="005E27DB"/>
    <w:rsid w:val="005E385F"/>
    <w:rsid w:val="005E5B81"/>
    <w:rsid w:val="005F2CB1"/>
    <w:rsid w:val="005F3025"/>
    <w:rsid w:val="005F618C"/>
    <w:rsid w:val="005F70BD"/>
    <w:rsid w:val="005F79F3"/>
    <w:rsid w:val="0060283C"/>
    <w:rsid w:val="00603050"/>
    <w:rsid w:val="00604F14"/>
    <w:rsid w:val="00611B83"/>
    <w:rsid w:val="00613257"/>
    <w:rsid w:val="00620A71"/>
    <w:rsid w:val="00620D80"/>
    <w:rsid w:val="006234A6"/>
    <w:rsid w:val="00627220"/>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09C"/>
    <w:rsid w:val="00667EE7"/>
    <w:rsid w:val="00670922"/>
    <w:rsid w:val="00670BE1"/>
    <w:rsid w:val="0067218F"/>
    <w:rsid w:val="006741F2"/>
    <w:rsid w:val="00674CC3"/>
    <w:rsid w:val="00675C72"/>
    <w:rsid w:val="006771F9"/>
    <w:rsid w:val="006776D7"/>
    <w:rsid w:val="00681003"/>
    <w:rsid w:val="006817C9"/>
    <w:rsid w:val="006831EE"/>
    <w:rsid w:val="00683ECE"/>
    <w:rsid w:val="00692CC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57D4"/>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26E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2B1"/>
    <w:rsid w:val="007755F2"/>
    <w:rsid w:val="00776971"/>
    <w:rsid w:val="00780A80"/>
    <w:rsid w:val="0078177E"/>
    <w:rsid w:val="00782758"/>
    <w:rsid w:val="0078304C"/>
    <w:rsid w:val="00783673"/>
    <w:rsid w:val="00785490"/>
    <w:rsid w:val="007925EA"/>
    <w:rsid w:val="00793CD8"/>
    <w:rsid w:val="00794552"/>
    <w:rsid w:val="00795C92"/>
    <w:rsid w:val="00796231"/>
    <w:rsid w:val="00797173"/>
    <w:rsid w:val="007A1CB3"/>
    <w:rsid w:val="007A306F"/>
    <w:rsid w:val="007A377B"/>
    <w:rsid w:val="007A43A6"/>
    <w:rsid w:val="007A44B6"/>
    <w:rsid w:val="007A58A6"/>
    <w:rsid w:val="007B23C8"/>
    <w:rsid w:val="007B3D2D"/>
    <w:rsid w:val="007B50AE"/>
    <w:rsid w:val="007B51DF"/>
    <w:rsid w:val="007C05DD"/>
    <w:rsid w:val="007C0BA8"/>
    <w:rsid w:val="007C3D18"/>
    <w:rsid w:val="007C60BF"/>
    <w:rsid w:val="007C6A07"/>
    <w:rsid w:val="007C75A1"/>
    <w:rsid w:val="007C77A5"/>
    <w:rsid w:val="007D04E5"/>
    <w:rsid w:val="007D085C"/>
    <w:rsid w:val="007D5901"/>
    <w:rsid w:val="007D7526"/>
    <w:rsid w:val="007E2EF4"/>
    <w:rsid w:val="007E362A"/>
    <w:rsid w:val="007E4610"/>
    <w:rsid w:val="007E4715"/>
    <w:rsid w:val="007E4D09"/>
    <w:rsid w:val="007E505B"/>
    <w:rsid w:val="007E7091"/>
    <w:rsid w:val="00803FAE"/>
    <w:rsid w:val="0080605F"/>
    <w:rsid w:val="00807786"/>
    <w:rsid w:val="00811FCB"/>
    <w:rsid w:val="00813808"/>
    <w:rsid w:val="00814774"/>
    <w:rsid w:val="008158D6"/>
    <w:rsid w:val="00817196"/>
    <w:rsid w:val="008235DB"/>
    <w:rsid w:val="00824AB4"/>
    <w:rsid w:val="00825C42"/>
    <w:rsid w:val="00825D25"/>
    <w:rsid w:val="00827D6F"/>
    <w:rsid w:val="008350DF"/>
    <w:rsid w:val="008376AC"/>
    <w:rsid w:val="00841EA6"/>
    <w:rsid w:val="008444E8"/>
    <w:rsid w:val="00844E80"/>
    <w:rsid w:val="00846FE7"/>
    <w:rsid w:val="008554DE"/>
    <w:rsid w:val="00856911"/>
    <w:rsid w:val="008677FD"/>
    <w:rsid w:val="008706D4"/>
    <w:rsid w:val="00870F8A"/>
    <w:rsid w:val="008719A4"/>
    <w:rsid w:val="00871D23"/>
    <w:rsid w:val="0087399B"/>
    <w:rsid w:val="00874312"/>
    <w:rsid w:val="0087437C"/>
    <w:rsid w:val="00875CD7"/>
    <w:rsid w:val="00876B4D"/>
    <w:rsid w:val="00877F18"/>
    <w:rsid w:val="00880DC4"/>
    <w:rsid w:val="008941E3"/>
    <w:rsid w:val="008947A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3AA3"/>
    <w:rsid w:val="0093093C"/>
    <w:rsid w:val="00931BD9"/>
    <w:rsid w:val="0093625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F68"/>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C90"/>
    <w:rsid w:val="009D4FF0"/>
    <w:rsid w:val="009D703C"/>
    <w:rsid w:val="009D718F"/>
    <w:rsid w:val="009E068F"/>
    <w:rsid w:val="009E14E0"/>
    <w:rsid w:val="009E35DB"/>
    <w:rsid w:val="009E47A3"/>
    <w:rsid w:val="009F08F3"/>
    <w:rsid w:val="009F344F"/>
    <w:rsid w:val="00A031D8"/>
    <w:rsid w:val="00A048A8"/>
    <w:rsid w:val="00A04F49"/>
    <w:rsid w:val="00A05824"/>
    <w:rsid w:val="00A13E54"/>
    <w:rsid w:val="00A17F63"/>
    <w:rsid w:val="00A21220"/>
    <w:rsid w:val="00A2193B"/>
    <w:rsid w:val="00A22714"/>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98D"/>
    <w:rsid w:val="00AB0BC8"/>
    <w:rsid w:val="00AB11CA"/>
    <w:rsid w:val="00AB14D9"/>
    <w:rsid w:val="00AB4AB8"/>
    <w:rsid w:val="00AB655E"/>
    <w:rsid w:val="00AC007F"/>
    <w:rsid w:val="00AC1CB8"/>
    <w:rsid w:val="00AC2ECD"/>
    <w:rsid w:val="00AC3119"/>
    <w:rsid w:val="00AC49FB"/>
    <w:rsid w:val="00AC5A10"/>
    <w:rsid w:val="00AD0AA3"/>
    <w:rsid w:val="00AD194C"/>
    <w:rsid w:val="00AD2ED0"/>
    <w:rsid w:val="00AD3F94"/>
    <w:rsid w:val="00AD4A5A"/>
    <w:rsid w:val="00AE2462"/>
    <w:rsid w:val="00AE27AC"/>
    <w:rsid w:val="00AE40E0"/>
    <w:rsid w:val="00AE4874"/>
    <w:rsid w:val="00AE4DBA"/>
    <w:rsid w:val="00AE4F07"/>
    <w:rsid w:val="00AF1C5D"/>
    <w:rsid w:val="00AF4168"/>
    <w:rsid w:val="00AF42D7"/>
    <w:rsid w:val="00AF7EB6"/>
    <w:rsid w:val="00B006FE"/>
    <w:rsid w:val="00B007CB"/>
    <w:rsid w:val="00B02AA9"/>
    <w:rsid w:val="00B02FA3"/>
    <w:rsid w:val="00B05084"/>
    <w:rsid w:val="00B157F9"/>
    <w:rsid w:val="00B167F9"/>
    <w:rsid w:val="00B20256"/>
    <w:rsid w:val="00B20D09"/>
    <w:rsid w:val="00B2757F"/>
    <w:rsid w:val="00B2763F"/>
    <w:rsid w:val="00B277C7"/>
    <w:rsid w:val="00B27AAC"/>
    <w:rsid w:val="00B30929"/>
    <w:rsid w:val="00B372AA"/>
    <w:rsid w:val="00B40445"/>
    <w:rsid w:val="00B409E0"/>
    <w:rsid w:val="00B41888"/>
    <w:rsid w:val="00B42B1E"/>
    <w:rsid w:val="00B45A52"/>
    <w:rsid w:val="00B46175"/>
    <w:rsid w:val="00B548B7"/>
    <w:rsid w:val="00B664C7"/>
    <w:rsid w:val="00B6680C"/>
    <w:rsid w:val="00B713D8"/>
    <w:rsid w:val="00B739F6"/>
    <w:rsid w:val="00B81A6C"/>
    <w:rsid w:val="00B82785"/>
    <w:rsid w:val="00B85DE5"/>
    <w:rsid w:val="00B90F73"/>
    <w:rsid w:val="00B9219D"/>
    <w:rsid w:val="00B93B59"/>
    <w:rsid w:val="00B9406A"/>
    <w:rsid w:val="00BA2280"/>
    <w:rsid w:val="00BA2A08"/>
    <w:rsid w:val="00BA2D57"/>
    <w:rsid w:val="00BA56D2"/>
    <w:rsid w:val="00BA76E0"/>
    <w:rsid w:val="00BB2A25"/>
    <w:rsid w:val="00BB51E9"/>
    <w:rsid w:val="00BC0FDC"/>
    <w:rsid w:val="00BC3053"/>
    <w:rsid w:val="00BC4D2E"/>
    <w:rsid w:val="00BD4069"/>
    <w:rsid w:val="00BD48AC"/>
    <w:rsid w:val="00BD5F1A"/>
    <w:rsid w:val="00BE1234"/>
    <w:rsid w:val="00BE2FA6"/>
    <w:rsid w:val="00BE333F"/>
    <w:rsid w:val="00BE7406"/>
    <w:rsid w:val="00BE7603"/>
    <w:rsid w:val="00BF3279"/>
    <w:rsid w:val="00BF5D88"/>
    <w:rsid w:val="00BF74C7"/>
    <w:rsid w:val="00C015F1"/>
    <w:rsid w:val="00C01F33"/>
    <w:rsid w:val="00C02903"/>
    <w:rsid w:val="00C02CC6"/>
    <w:rsid w:val="00C0366C"/>
    <w:rsid w:val="00C040F7"/>
    <w:rsid w:val="00C0441D"/>
    <w:rsid w:val="00C044AB"/>
    <w:rsid w:val="00C05706"/>
    <w:rsid w:val="00C07377"/>
    <w:rsid w:val="00C10478"/>
    <w:rsid w:val="00C12107"/>
    <w:rsid w:val="00C14D4B"/>
    <w:rsid w:val="00C154BB"/>
    <w:rsid w:val="00C279B5"/>
    <w:rsid w:val="00C27C45"/>
    <w:rsid w:val="00C34AC1"/>
    <w:rsid w:val="00C3719D"/>
    <w:rsid w:val="00C37CB2"/>
    <w:rsid w:val="00C473A5"/>
    <w:rsid w:val="00C54995"/>
    <w:rsid w:val="00C54D41"/>
    <w:rsid w:val="00C60783"/>
    <w:rsid w:val="00C61A02"/>
    <w:rsid w:val="00C62540"/>
    <w:rsid w:val="00C64672"/>
    <w:rsid w:val="00C70697"/>
    <w:rsid w:val="00C70B0D"/>
    <w:rsid w:val="00C72093"/>
    <w:rsid w:val="00C72D89"/>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E80"/>
    <w:rsid w:val="00CC111F"/>
    <w:rsid w:val="00CC2011"/>
    <w:rsid w:val="00CC3EA0"/>
    <w:rsid w:val="00CC7B45"/>
    <w:rsid w:val="00CD1188"/>
    <w:rsid w:val="00CD2ED1"/>
    <w:rsid w:val="00CD337B"/>
    <w:rsid w:val="00CE0424"/>
    <w:rsid w:val="00CE7561"/>
    <w:rsid w:val="00CF1354"/>
    <w:rsid w:val="00CF2CF9"/>
    <w:rsid w:val="00CF3B1F"/>
    <w:rsid w:val="00CF3BF6"/>
    <w:rsid w:val="00CF625B"/>
    <w:rsid w:val="00CF687E"/>
    <w:rsid w:val="00D0349B"/>
    <w:rsid w:val="00D10249"/>
    <w:rsid w:val="00D115C3"/>
    <w:rsid w:val="00D11897"/>
    <w:rsid w:val="00D13135"/>
    <w:rsid w:val="00D13E4E"/>
    <w:rsid w:val="00D1558C"/>
    <w:rsid w:val="00D2004D"/>
    <w:rsid w:val="00D239A7"/>
    <w:rsid w:val="00D23F47"/>
    <w:rsid w:val="00D36E71"/>
    <w:rsid w:val="00D3781E"/>
    <w:rsid w:val="00D37D87"/>
    <w:rsid w:val="00D40B33"/>
    <w:rsid w:val="00D4318F"/>
    <w:rsid w:val="00D438BF"/>
    <w:rsid w:val="00D440F8"/>
    <w:rsid w:val="00D47EE8"/>
    <w:rsid w:val="00D544C3"/>
    <w:rsid w:val="00D546FF"/>
    <w:rsid w:val="00D55AD5"/>
    <w:rsid w:val="00D576CA"/>
    <w:rsid w:val="00D61AF5"/>
    <w:rsid w:val="00D652B5"/>
    <w:rsid w:val="00D66155"/>
    <w:rsid w:val="00D708B0"/>
    <w:rsid w:val="00D77B1D"/>
    <w:rsid w:val="00D8021F"/>
    <w:rsid w:val="00D80383"/>
    <w:rsid w:val="00D80789"/>
    <w:rsid w:val="00D823C6"/>
    <w:rsid w:val="00D8327F"/>
    <w:rsid w:val="00D8338E"/>
    <w:rsid w:val="00D86CA3"/>
    <w:rsid w:val="00D871CE"/>
    <w:rsid w:val="00D9196D"/>
    <w:rsid w:val="00D91CF0"/>
    <w:rsid w:val="00D92982"/>
    <w:rsid w:val="00DA21CC"/>
    <w:rsid w:val="00DA305E"/>
    <w:rsid w:val="00DA5417"/>
    <w:rsid w:val="00DA56E8"/>
    <w:rsid w:val="00DA792E"/>
    <w:rsid w:val="00DB0A9F"/>
    <w:rsid w:val="00DB377D"/>
    <w:rsid w:val="00DB5376"/>
    <w:rsid w:val="00DC2D36"/>
    <w:rsid w:val="00DC53EF"/>
    <w:rsid w:val="00DD06F3"/>
    <w:rsid w:val="00DE5608"/>
    <w:rsid w:val="00DE58D0"/>
    <w:rsid w:val="00DE654F"/>
    <w:rsid w:val="00DE7E24"/>
    <w:rsid w:val="00DF0B6E"/>
    <w:rsid w:val="00DF15E0"/>
    <w:rsid w:val="00DF37A0"/>
    <w:rsid w:val="00E041A5"/>
    <w:rsid w:val="00E110E7"/>
    <w:rsid w:val="00E11B20"/>
    <w:rsid w:val="00E16818"/>
    <w:rsid w:val="00E17FA2"/>
    <w:rsid w:val="00E22330"/>
    <w:rsid w:val="00E30B5A"/>
    <w:rsid w:val="00E3123D"/>
    <w:rsid w:val="00E31461"/>
    <w:rsid w:val="00E31D43"/>
    <w:rsid w:val="00E32608"/>
    <w:rsid w:val="00E34188"/>
    <w:rsid w:val="00E34B6E"/>
    <w:rsid w:val="00E35559"/>
    <w:rsid w:val="00E3723A"/>
    <w:rsid w:val="00E37860"/>
    <w:rsid w:val="00E446F1"/>
    <w:rsid w:val="00E451FB"/>
    <w:rsid w:val="00E46886"/>
    <w:rsid w:val="00E47AEF"/>
    <w:rsid w:val="00E53B75"/>
    <w:rsid w:val="00E54E3B"/>
    <w:rsid w:val="00E57565"/>
    <w:rsid w:val="00E63838"/>
    <w:rsid w:val="00E64434"/>
    <w:rsid w:val="00E67C51"/>
    <w:rsid w:val="00E72EFC"/>
    <w:rsid w:val="00E737A1"/>
    <w:rsid w:val="00E758EC"/>
    <w:rsid w:val="00E8234C"/>
    <w:rsid w:val="00E83AA9"/>
    <w:rsid w:val="00E853BE"/>
    <w:rsid w:val="00E85928"/>
    <w:rsid w:val="00E87822"/>
    <w:rsid w:val="00E9032B"/>
    <w:rsid w:val="00E90395"/>
    <w:rsid w:val="00E90E49"/>
    <w:rsid w:val="00E917F9"/>
    <w:rsid w:val="00E9291C"/>
    <w:rsid w:val="00E93FFE"/>
    <w:rsid w:val="00E94F8A"/>
    <w:rsid w:val="00EA7A41"/>
    <w:rsid w:val="00EB077B"/>
    <w:rsid w:val="00EB4EA2"/>
    <w:rsid w:val="00EC24D5"/>
    <w:rsid w:val="00EC27C6"/>
    <w:rsid w:val="00EC4207"/>
    <w:rsid w:val="00EC5653"/>
    <w:rsid w:val="00EC5D91"/>
    <w:rsid w:val="00EC71CE"/>
    <w:rsid w:val="00ED1006"/>
    <w:rsid w:val="00ED36F5"/>
    <w:rsid w:val="00EF18FE"/>
    <w:rsid w:val="00EF5787"/>
    <w:rsid w:val="00EF60D0"/>
    <w:rsid w:val="00EF6DFB"/>
    <w:rsid w:val="00F0528D"/>
    <w:rsid w:val="00F06C67"/>
    <w:rsid w:val="00F06DFD"/>
    <w:rsid w:val="00F071D1"/>
    <w:rsid w:val="00F07533"/>
    <w:rsid w:val="00F10629"/>
    <w:rsid w:val="00F12A56"/>
    <w:rsid w:val="00F1310F"/>
    <w:rsid w:val="00F15FA5"/>
    <w:rsid w:val="00F16B46"/>
    <w:rsid w:val="00F209B7"/>
    <w:rsid w:val="00F22FE2"/>
    <w:rsid w:val="00F2376F"/>
    <w:rsid w:val="00F243D8"/>
    <w:rsid w:val="00F27182"/>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7E9"/>
    <w:rsid w:val="00F9397D"/>
    <w:rsid w:val="00F93AA9"/>
    <w:rsid w:val="00F96985"/>
    <w:rsid w:val="00F97838"/>
    <w:rsid w:val="00FA2BB3"/>
    <w:rsid w:val="00FB4C80"/>
    <w:rsid w:val="00FB6A6A"/>
    <w:rsid w:val="00FC5B27"/>
    <w:rsid w:val="00FC7429"/>
    <w:rsid w:val="00FD07F6"/>
    <w:rsid w:val="00FD1EC8"/>
    <w:rsid w:val="00FD354B"/>
    <w:rsid w:val="00FD47ED"/>
    <w:rsid w:val="00FD74DB"/>
    <w:rsid w:val="00FD7660"/>
    <w:rsid w:val="00FE0655"/>
    <w:rsid w:val="00FE2365"/>
    <w:rsid w:val="00FE37D7"/>
    <w:rsid w:val="00FE4C7B"/>
    <w:rsid w:val="00FE7336"/>
    <w:rsid w:val="00FE787C"/>
    <w:rsid w:val="00FF45A5"/>
    <w:rsid w:val="00FF47CA"/>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6BF0338-83C3-4A41-8FAB-BCC849B2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B9219D"/>
    <w:rPr>
      <w:lang w:val="en-GB" w:eastAsia="ja-JP"/>
    </w:rPr>
  </w:style>
  <w:style w:type="character" w:customStyle="1" w:styleId="Doc-text2Char">
    <w:name w:val="Doc-text2 Char"/>
    <w:link w:val="Doc-text2"/>
    <w:locked/>
    <w:rsid w:val="00B9219D"/>
    <w:rPr>
      <w:rFonts w:ascii="Arial" w:eastAsiaTheme="minorHAnsi" w:hAnsi="Arial" w:cstheme="minorBidi"/>
      <w:szCs w:val="22"/>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5</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12169</CharactersWithSpaces>
  <SharedDoc>false</SharedDoc>
  <HLinks>
    <vt:vector size="102" baseType="variant">
      <vt:variant>
        <vt:i4>1638461</vt:i4>
      </vt:variant>
      <vt:variant>
        <vt:i4>53</vt:i4>
      </vt:variant>
      <vt:variant>
        <vt:i4>0</vt:i4>
      </vt:variant>
      <vt:variant>
        <vt:i4>5</vt:i4>
      </vt:variant>
      <vt:variant>
        <vt:lpwstr/>
      </vt:variant>
      <vt:variant>
        <vt:lpwstr>_Toc118379350</vt:lpwstr>
      </vt:variant>
      <vt:variant>
        <vt:i4>1572925</vt:i4>
      </vt:variant>
      <vt:variant>
        <vt:i4>50</vt:i4>
      </vt:variant>
      <vt:variant>
        <vt:i4>0</vt:i4>
      </vt:variant>
      <vt:variant>
        <vt:i4>5</vt:i4>
      </vt:variant>
      <vt:variant>
        <vt:lpwstr/>
      </vt:variant>
      <vt:variant>
        <vt:lpwstr>_Toc118379349</vt:lpwstr>
      </vt:variant>
      <vt:variant>
        <vt:i4>1572925</vt:i4>
      </vt:variant>
      <vt:variant>
        <vt:i4>47</vt:i4>
      </vt:variant>
      <vt:variant>
        <vt:i4>0</vt:i4>
      </vt:variant>
      <vt:variant>
        <vt:i4>5</vt:i4>
      </vt:variant>
      <vt:variant>
        <vt:lpwstr/>
      </vt:variant>
      <vt:variant>
        <vt:lpwstr>_Toc118379348</vt:lpwstr>
      </vt:variant>
      <vt:variant>
        <vt:i4>1572925</vt:i4>
      </vt:variant>
      <vt:variant>
        <vt:i4>44</vt:i4>
      </vt:variant>
      <vt:variant>
        <vt:i4>0</vt:i4>
      </vt:variant>
      <vt:variant>
        <vt:i4>5</vt:i4>
      </vt:variant>
      <vt:variant>
        <vt:lpwstr/>
      </vt:variant>
      <vt:variant>
        <vt:lpwstr>_Toc118379347</vt:lpwstr>
      </vt:variant>
      <vt:variant>
        <vt:i4>1572925</vt:i4>
      </vt:variant>
      <vt:variant>
        <vt:i4>41</vt:i4>
      </vt:variant>
      <vt:variant>
        <vt:i4>0</vt:i4>
      </vt:variant>
      <vt:variant>
        <vt:i4>5</vt:i4>
      </vt:variant>
      <vt:variant>
        <vt:lpwstr/>
      </vt:variant>
      <vt:variant>
        <vt:lpwstr>_Toc118379346</vt:lpwstr>
      </vt:variant>
      <vt:variant>
        <vt:i4>1572925</vt:i4>
      </vt:variant>
      <vt:variant>
        <vt:i4>38</vt:i4>
      </vt:variant>
      <vt:variant>
        <vt:i4>0</vt:i4>
      </vt:variant>
      <vt:variant>
        <vt:i4>5</vt:i4>
      </vt:variant>
      <vt:variant>
        <vt:lpwstr/>
      </vt:variant>
      <vt:variant>
        <vt:lpwstr>_Toc118379345</vt:lpwstr>
      </vt:variant>
      <vt:variant>
        <vt:i4>1572925</vt:i4>
      </vt:variant>
      <vt:variant>
        <vt:i4>35</vt:i4>
      </vt:variant>
      <vt:variant>
        <vt:i4>0</vt:i4>
      </vt:variant>
      <vt:variant>
        <vt:i4>5</vt:i4>
      </vt:variant>
      <vt:variant>
        <vt:lpwstr/>
      </vt:variant>
      <vt:variant>
        <vt:lpwstr>_Toc118379344</vt:lpwstr>
      </vt:variant>
      <vt:variant>
        <vt:i4>1572925</vt:i4>
      </vt:variant>
      <vt:variant>
        <vt:i4>32</vt:i4>
      </vt:variant>
      <vt:variant>
        <vt:i4>0</vt:i4>
      </vt:variant>
      <vt:variant>
        <vt:i4>5</vt:i4>
      </vt:variant>
      <vt:variant>
        <vt:lpwstr/>
      </vt:variant>
      <vt:variant>
        <vt:lpwstr>_Toc118379343</vt:lpwstr>
      </vt:variant>
      <vt:variant>
        <vt:i4>1572925</vt:i4>
      </vt:variant>
      <vt:variant>
        <vt:i4>29</vt:i4>
      </vt:variant>
      <vt:variant>
        <vt:i4>0</vt:i4>
      </vt:variant>
      <vt:variant>
        <vt:i4>5</vt:i4>
      </vt:variant>
      <vt:variant>
        <vt:lpwstr/>
      </vt:variant>
      <vt:variant>
        <vt:lpwstr>_Toc118379342</vt:lpwstr>
      </vt:variant>
      <vt:variant>
        <vt:i4>1572925</vt:i4>
      </vt:variant>
      <vt:variant>
        <vt:i4>26</vt:i4>
      </vt:variant>
      <vt:variant>
        <vt:i4>0</vt:i4>
      </vt:variant>
      <vt:variant>
        <vt:i4>5</vt:i4>
      </vt:variant>
      <vt:variant>
        <vt:lpwstr/>
      </vt:variant>
      <vt:variant>
        <vt:lpwstr>_Toc118379341</vt:lpwstr>
      </vt:variant>
      <vt:variant>
        <vt:i4>1572925</vt:i4>
      </vt:variant>
      <vt:variant>
        <vt:i4>23</vt:i4>
      </vt:variant>
      <vt:variant>
        <vt:i4>0</vt:i4>
      </vt:variant>
      <vt:variant>
        <vt:i4>5</vt:i4>
      </vt:variant>
      <vt:variant>
        <vt:lpwstr/>
      </vt:variant>
      <vt:variant>
        <vt:lpwstr>_Toc118379340</vt:lpwstr>
      </vt:variant>
      <vt:variant>
        <vt:i4>2031677</vt:i4>
      </vt:variant>
      <vt:variant>
        <vt:i4>20</vt:i4>
      </vt:variant>
      <vt:variant>
        <vt:i4>0</vt:i4>
      </vt:variant>
      <vt:variant>
        <vt:i4>5</vt:i4>
      </vt:variant>
      <vt:variant>
        <vt:lpwstr/>
      </vt:variant>
      <vt:variant>
        <vt:lpwstr>_Toc118379339</vt:lpwstr>
      </vt:variant>
      <vt:variant>
        <vt:i4>2031677</vt:i4>
      </vt:variant>
      <vt:variant>
        <vt:i4>17</vt:i4>
      </vt:variant>
      <vt:variant>
        <vt:i4>0</vt:i4>
      </vt:variant>
      <vt:variant>
        <vt:i4>5</vt:i4>
      </vt:variant>
      <vt:variant>
        <vt:lpwstr/>
      </vt:variant>
      <vt:variant>
        <vt:lpwstr>_Toc118379338</vt:lpwstr>
      </vt:variant>
      <vt:variant>
        <vt:i4>2031677</vt:i4>
      </vt:variant>
      <vt:variant>
        <vt:i4>11</vt:i4>
      </vt:variant>
      <vt:variant>
        <vt:i4>0</vt:i4>
      </vt:variant>
      <vt:variant>
        <vt:i4>5</vt:i4>
      </vt:variant>
      <vt:variant>
        <vt:lpwstr/>
      </vt:variant>
      <vt:variant>
        <vt:lpwstr>_Toc118379334</vt:lpwstr>
      </vt:variant>
      <vt:variant>
        <vt:i4>2031677</vt:i4>
      </vt:variant>
      <vt:variant>
        <vt:i4>8</vt:i4>
      </vt:variant>
      <vt:variant>
        <vt:i4>0</vt:i4>
      </vt:variant>
      <vt:variant>
        <vt:i4>5</vt:i4>
      </vt:variant>
      <vt:variant>
        <vt:lpwstr/>
      </vt:variant>
      <vt:variant>
        <vt:lpwstr>_Toc118379333</vt:lpwstr>
      </vt:variant>
      <vt:variant>
        <vt:i4>2031677</vt:i4>
      </vt:variant>
      <vt:variant>
        <vt:i4>5</vt:i4>
      </vt:variant>
      <vt:variant>
        <vt:i4>0</vt:i4>
      </vt:variant>
      <vt:variant>
        <vt:i4>5</vt:i4>
      </vt:variant>
      <vt:variant>
        <vt:lpwstr/>
      </vt:variant>
      <vt:variant>
        <vt:lpwstr>_Toc118379332</vt:lpwstr>
      </vt:variant>
      <vt:variant>
        <vt:i4>2031677</vt:i4>
      </vt:variant>
      <vt:variant>
        <vt:i4>2</vt:i4>
      </vt:variant>
      <vt:variant>
        <vt:i4>0</vt:i4>
      </vt:variant>
      <vt:variant>
        <vt:i4>5</vt:i4>
      </vt:variant>
      <vt:variant>
        <vt:lpwstr/>
      </vt:variant>
      <vt:variant>
        <vt:lpwstr>_Toc118379331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134</cp:revision>
  <cp:lastPrinted>2008-02-01T01:09:00Z</cp:lastPrinted>
  <dcterms:created xsi:type="dcterms:W3CDTF">2020-08-14T15:21:00Z</dcterms:created>
  <dcterms:modified xsi:type="dcterms:W3CDTF">2022-11-07T15:29:00Z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